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522" w:rsidRPr="001876F3" w:rsidRDefault="001876F3" w:rsidP="00DA4A2F">
      <w:pPr>
        <w:jc w:val="center"/>
        <w:rPr>
          <w:sz w:val="28"/>
          <w:szCs w:val="28"/>
          <w:u w:val="single"/>
        </w:rPr>
      </w:pPr>
      <w:bookmarkStart w:id="0" w:name="_GoBack"/>
      <w:bookmarkEnd w:id="0"/>
      <w:r w:rsidRPr="001876F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roofErr w:type="spellStart"/>
      <w:r w:rsidR="006C5CA8" w:rsidRPr="001876F3">
        <w:rPr>
          <w:sz w:val="28"/>
          <w:szCs w:val="28"/>
          <w:u w:val="single"/>
        </w:rPr>
        <w:t>Ryecroft</w:t>
      </w:r>
      <w:proofErr w:type="spellEnd"/>
      <w:r w:rsidR="006C5CA8" w:rsidRPr="001876F3">
        <w:rPr>
          <w:sz w:val="28"/>
          <w:szCs w:val="28"/>
          <w:u w:val="single"/>
        </w:rPr>
        <w:t xml:space="preserve"> C.E. Middle School – Key Priorities 2020-21</w:t>
      </w:r>
    </w:p>
    <w:tbl>
      <w:tblPr>
        <w:tblStyle w:val="TableGrid"/>
        <w:tblW w:w="0" w:type="auto"/>
        <w:tblLook w:val="04A0" w:firstRow="1" w:lastRow="0" w:firstColumn="1" w:lastColumn="0" w:noHBand="0" w:noVBand="1"/>
      </w:tblPr>
      <w:tblGrid>
        <w:gridCol w:w="1555"/>
        <w:gridCol w:w="4547"/>
        <w:gridCol w:w="2914"/>
      </w:tblGrid>
      <w:tr w:rsidR="0044426F" w:rsidRPr="001876F3" w:rsidTr="00255110">
        <w:tc>
          <w:tcPr>
            <w:tcW w:w="9016" w:type="dxa"/>
            <w:gridSpan w:val="3"/>
            <w:shd w:val="clear" w:color="auto" w:fill="DEEAF6" w:themeFill="accent1" w:themeFillTint="33"/>
          </w:tcPr>
          <w:p w:rsidR="0044426F" w:rsidRPr="00A17F37" w:rsidRDefault="0044426F" w:rsidP="001876F3">
            <w:pPr>
              <w:jc w:val="center"/>
              <w:rPr>
                <w:sz w:val="24"/>
                <w:szCs w:val="24"/>
              </w:rPr>
            </w:pPr>
            <w:r w:rsidRPr="00A17F37">
              <w:rPr>
                <w:sz w:val="24"/>
                <w:szCs w:val="24"/>
              </w:rPr>
              <w:t xml:space="preserve">Priority 1 </w:t>
            </w:r>
          </w:p>
        </w:tc>
      </w:tr>
      <w:tr w:rsidR="0044426F" w:rsidRPr="001876F3" w:rsidTr="002E4032">
        <w:tc>
          <w:tcPr>
            <w:tcW w:w="9016" w:type="dxa"/>
            <w:gridSpan w:val="3"/>
            <w:shd w:val="clear" w:color="auto" w:fill="FFFFFF" w:themeFill="background1"/>
          </w:tcPr>
          <w:p w:rsidR="0044426F" w:rsidRDefault="0044426F" w:rsidP="006C5CA8">
            <w:r w:rsidRPr="001876F3">
              <w:t>Ensure that Teaching, Learning and Assessment is consistent</w:t>
            </w:r>
            <w:r w:rsidR="00231121">
              <w:t>ly good</w:t>
            </w:r>
            <w:r w:rsidRPr="001876F3">
              <w:t>, robust and fit for purpose across the School, with all pupils knowing how well they are doing in each subject and understand what they need to do to improve.</w:t>
            </w:r>
          </w:p>
          <w:p w:rsidR="0044426F" w:rsidRPr="001876F3" w:rsidRDefault="0044426F" w:rsidP="006C5CA8"/>
        </w:tc>
      </w:tr>
      <w:tr w:rsidR="0044426F" w:rsidRPr="001876F3" w:rsidTr="00433018">
        <w:tc>
          <w:tcPr>
            <w:tcW w:w="1555" w:type="dxa"/>
            <w:shd w:val="clear" w:color="auto" w:fill="DEEAF6" w:themeFill="accent1" w:themeFillTint="33"/>
          </w:tcPr>
          <w:p w:rsidR="0044426F" w:rsidRPr="001876F3" w:rsidRDefault="0044426F" w:rsidP="006C5CA8">
            <w:r>
              <w:t>Focus Area</w:t>
            </w:r>
          </w:p>
        </w:tc>
        <w:tc>
          <w:tcPr>
            <w:tcW w:w="4547" w:type="dxa"/>
            <w:shd w:val="clear" w:color="auto" w:fill="DEEAF6" w:themeFill="accent1" w:themeFillTint="33"/>
          </w:tcPr>
          <w:p w:rsidR="0044426F" w:rsidRPr="001876F3" w:rsidRDefault="0044426F" w:rsidP="006C5CA8">
            <w:r w:rsidRPr="001876F3">
              <w:t>Linked SDP Objectives</w:t>
            </w:r>
          </w:p>
        </w:tc>
        <w:tc>
          <w:tcPr>
            <w:tcW w:w="2914" w:type="dxa"/>
            <w:shd w:val="clear" w:color="auto" w:fill="DEEAF6" w:themeFill="accent1" w:themeFillTint="33"/>
          </w:tcPr>
          <w:p w:rsidR="0044426F" w:rsidRPr="001876F3" w:rsidRDefault="0044426F" w:rsidP="006C5CA8">
            <w:r w:rsidRPr="001876F3">
              <w:t>Teacher Standards</w:t>
            </w:r>
          </w:p>
        </w:tc>
      </w:tr>
      <w:tr w:rsidR="000A22DA" w:rsidTr="00433018">
        <w:trPr>
          <w:trHeight w:val="1105"/>
        </w:trPr>
        <w:tc>
          <w:tcPr>
            <w:tcW w:w="1555" w:type="dxa"/>
            <w:vMerge w:val="restart"/>
          </w:tcPr>
          <w:p w:rsidR="000A22DA" w:rsidRPr="001876F3" w:rsidRDefault="000A22DA" w:rsidP="0046597A">
            <w:pPr>
              <w:rPr>
                <w:rFonts w:ascii="Calibri" w:hAnsi="Calibri"/>
                <w:bCs/>
              </w:rPr>
            </w:pPr>
            <w:r>
              <w:rPr>
                <w:rFonts w:ascii="Calibri" w:hAnsi="Calibri"/>
                <w:bCs/>
              </w:rPr>
              <w:t>Quality of Education</w:t>
            </w:r>
          </w:p>
        </w:tc>
        <w:tc>
          <w:tcPr>
            <w:tcW w:w="4547" w:type="dxa"/>
          </w:tcPr>
          <w:p w:rsidR="000A22DA" w:rsidRPr="00200522" w:rsidRDefault="000A22DA" w:rsidP="0046597A">
            <w:pPr>
              <w:rPr>
                <w:rFonts w:ascii="Calibri" w:hAnsi="Calibri"/>
                <w:bCs/>
              </w:rPr>
            </w:pPr>
            <w:r w:rsidRPr="001876F3">
              <w:rPr>
                <w:rFonts w:ascii="Calibri" w:hAnsi="Calibri"/>
                <w:bCs/>
              </w:rPr>
              <w:t>Identify gaps and underachievement, particularly with those who experienced barriers to learning and engagement during remote learning, as a result of Covid-19.</w:t>
            </w:r>
          </w:p>
        </w:tc>
        <w:tc>
          <w:tcPr>
            <w:tcW w:w="2914" w:type="dxa"/>
            <w:vMerge w:val="restart"/>
          </w:tcPr>
          <w:p w:rsidR="000A22DA" w:rsidRPr="00200522" w:rsidRDefault="000A22DA" w:rsidP="001876F3">
            <w:pPr>
              <w:pStyle w:val="Default"/>
              <w:rPr>
                <w:rFonts w:asciiTheme="minorHAnsi" w:hAnsiTheme="minorHAnsi"/>
                <w:bCs/>
                <w:sz w:val="22"/>
                <w:szCs w:val="22"/>
              </w:rPr>
            </w:pPr>
            <w:r w:rsidRPr="00200522">
              <w:rPr>
                <w:rFonts w:asciiTheme="minorHAnsi" w:hAnsiTheme="minorHAnsi"/>
                <w:sz w:val="22"/>
                <w:szCs w:val="22"/>
              </w:rPr>
              <w:t>1</w:t>
            </w:r>
            <w:r w:rsidRPr="00200522">
              <w:rPr>
                <w:rFonts w:asciiTheme="minorHAnsi" w:hAnsiTheme="minorHAnsi"/>
                <w:bCs/>
                <w:sz w:val="22"/>
                <w:szCs w:val="22"/>
              </w:rPr>
              <w:t xml:space="preserve"> Set high expectations which inspire, motivate and challenge pupils </w:t>
            </w:r>
          </w:p>
          <w:p w:rsidR="000A22DA" w:rsidRPr="00200522" w:rsidRDefault="000A22DA" w:rsidP="0046597A"/>
          <w:p w:rsidR="000A22DA" w:rsidRPr="00200522" w:rsidRDefault="000A22DA" w:rsidP="001876F3">
            <w:pPr>
              <w:pStyle w:val="Default"/>
              <w:rPr>
                <w:rFonts w:asciiTheme="minorHAnsi" w:hAnsiTheme="minorHAnsi"/>
                <w:bCs/>
                <w:sz w:val="22"/>
                <w:szCs w:val="22"/>
              </w:rPr>
            </w:pPr>
            <w:r w:rsidRPr="00200522">
              <w:rPr>
                <w:rFonts w:asciiTheme="minorHAnsi" w:hAnsiTheme="minorHAnsi"/>
                <w:bCs/>
                <w:sz w:val="22"/>
                <w:szCs w:val="22"/>
              </w:rPr>
              <w:t xml:space="preserve">2. Promote good progress and outcomes by pupils </w:t>
            </w:r>
          </w:p>
          <w:p w:rsidR="000A22DA" w:rsidRPr="00200522" w:rsidRDefault="000A22DA" w:rsidP="001876F3">
            <w:pPr>
              <w:pStyle w:val="Default"/>
              <w:rPr>
                <w:rFonts w:asciiTheme="minorHAnsi" w:hAnsiTheme="minorHAnsi"/>
                <w:sz w:val="22"/>
                <w:szCs w:val="22"/>
              </w:rPr>
            </w:pPr>
          </w:p>
          <w:p w:rsidR="000A22DA" w:rsidRPr="00200522" w:rsidRDefault="000A22DA" w:rsidP="00200522">
            <w:pPr>
              <w:pStyle w:val="Default"/>
              <w:rPr>
                <w:rFonts w:asciiTheme="minorHAnsi" w:hAnsiTheme="minorHAnsi"/>
                <w:bCs/>
                <w:color w:val="auto"/>
                <w:sz w:val="22"/>
                <w:szCs w:val="22"/>
              </w:rPr>
            </w:pPr>
            <w:r w:rsidRPr="00200522">
              <w:rPr>
                <w:rFonts w:asciiTheme="minorHAnsi" w:hAnsiTheme="minorHAnsi"/>
                <w:bCs/>
                <w:color w:val="auto"/>
                <w:sz w:val="22"/>
                <w:szCs w:val="22"/>
              </w:rPr>
              <w:t xml:space="preserve">3. Demonstrate good subject and curriculum knowledge </w:t>
            </w:r>
          </w:p>
          <w:p w:rsidR="000A22DA" w:rsidRPr="00200522" w:rsidRDefault="000A22DA" w:rsidP="00200522">
            <w:pPr>
              <w:pStyle w:val="Default"/>
              <w:rPr>
                <w:rFonts w:asciiTheme="minorHAnsi" w:hAnsiTheme="minorHAnsi"/>
                <w:bCs/>
                <w:color w:val="auto"/>
                <w:sz w:val="22"/>
                <w:szCs w:val="22"/>
              </w:rPr>
            </w:pPr>
          </w:p>
          <w:p w:rsidR="000A22DA" w:rsidRPr="00200522" w:rsidRDefault="000A22DA" w:rsidP="001876F3">
            <w:pPr>
              <w:pStyle w:val="Default"/>
              <w:rPr>
                <w:rFonts w:asciiTheme="minorHAnsi" w:hAnsiTheme="minorHAnsi"/>
                <w:bCs/>
                <w:color w:val="auto"/>
                <w:sz w:val="22"/>
                <w:szCs w:val="22"/>
              </w:rPr>
            </w:pPr>
            <w:r w:rsidRPr="00200522">
              <w:rPr>
                <w:rFonts w:asciiTheme="minorHAnsi" w:hAnsiTheme="minorHAnsi"/>
                <w:bCs/>
                <w:color w:val="auto"/>
                <w:sz w:val="22"/>
                <w:szCs w:val="22"/>
              </w:rPr>
              <w:t xml:space="preserve">4. Plan and teach well-structured lessons </w:t>
            </w:r>
          </w:p>
          <w:p w:rsidR="000A22DA" w:rsidRPr="00200522" w:rsidRDefault="000A22DA" w:rsidP="001876F3">
            <w:pPr>
              <w:pStyle w:val="Default"/>
              <w:rPr>
                <w:rFonts w:asciiTheme="minorHAnsi" w:hAnsiTheme="minorHAnsi"/>
                <w:sz w:val="22"/>
                <w:szCs w:val="22"/>
              </w:rPr>
            </w:pPr>
          </w:p>
          <w:p w:rsidR="000A22DA" w:rsidRPr="00200522" w:rsidRDefault="000A22DA" w:rsidP="001876F3">
            <w:pPr>
              <w:pStyle w:val="Default"/>
              <w:rPr>
                <w:rFonts w:asciiTheme="minorHAnsi" w:hAnsiTheme="minorHAnsi"/>
                <w:bCs/>
                <w:color w:val="auto"/>
                <w:sz w:val="22"/>
                <w:szCs w:val="22"/>
              </w:rPr>
            </w:pPr>
            <w:r w:rsidRPr="00200522">
              <w:rPr>
                <w:rFonts w:asciiTheme="minorHAnsi" w:hAnsiTheme="minorHAnsi"/>
                <w:bCs/>
                <w:color w:val="auto"/>
                <w:sz w:val="22"/>
                <w:szCs w:val="22"/>
              </w:rPr>
              <w:t xml:space="preserve">5. Adapt teaching to respond to the strengths and needs of all pupils </w:t>
            </w:r>
          </w:p>
          <w:p w:rsidR="000A22DA" w:rsidRPr="00200522" w:rsidRDefault="000A22DA" w:rsidP="001876F3">
            <w:pPr>
              <w:pStyle w:val="Default"/>
              <w:rPr>
                <w:rFonts w:asciiTheme="minorHAnsi" w:hAnsiTheme="minorHAnsi"/>
                <w:color w:val="auto"/>
                <w:sz w:val="22"/>
                <w:szCs w:val="22"/>
              </w:rPr>
            </w:pPr>
          </w:p>
          <w:p w:rsidR="000A22DA" w:rsidRPr="00200522" w:rsidRDefault="000A22DA" w:rsidP="00200522">
            <w:pPr>
              <w:pStyle w:val="Default"/>
              <w:rPr>
                <w:rFonts w:asciiTheme="minorHAnsi" w:hAnsiTheme="minorHAnsi"/>
                <w:sz w:val="22"/>
                <w:szCs w:val="22"/>
              </w:rPr>
            </w:pPr>
            <w:r w:rsidRPr="00200522">
              <w:rPr>
                <w:rFonts w:asciiTheme="minorHAnsi" w:hAnsiTheme="minorHAnsi"/>
                <w:color w:val="auto"/>
                <w:sz w:val="22"/>
                <w:szCs w:val="22"/>
              </w:rPr>
              <w:t xml:space="preserve"> </w:t>
            </w:r>
            <w:r w:rsidRPr="00200522">
              <w:rPr>
                <w:rFonts w:asciiTheme="minorHAnsi" w:hAnsiTheme="minorHAnsi"/>
                <w:bCs/>
                <w:color w:val="auto"/>
                <w:sz w:val="22"/>
                <w:szCs w:val="22"/>
              </w:rPr>
              <w:t xml:space="preserve">6. Make accurate and productive use of assessment </w:t>
            </w:r>
          </w:p>
          <w:p w:rsidR="000A22DA" w:rsidRPr="00200522" w:rsidRDefault="000A22DA" w:rsidP="00200522">
            <w:pPr>
              <w:pStyle w:val="Default"/>
              <w:rPr>
                <w:rFonts w:asciiTheme="minorHAnsi" w:hAnsiTheme="minorHAnsi"/>
                <w:color w:val="auto"/>
                <w:sz w:val="22"/>
                <w:szCs w:val="22"/>
              </w:rPr>
            </w:pPr>
          </w:p>
          <w:p w:rsidR="000A22DA" w:rsidRPr="00956DD4" w:rsidRDefault="000A22DA" w:rsidP="00956DD4">
            <w:pPr>
              <w:pStyle w:val="Default"/>
              <w:spacing w:after="331"/>
              <w:rPr>
                <w:rFonts w:asciiTheme="minorHAnsi" w:hAnsiTheme="minorHAnsi"/>
                <w:color w:val="auto"/>
                <w:sz w:val="22"/>
                <w:szCs w:val="22"/>
              </w:rPr>
            </w:pPr>
            <w:r w:rsidRPr="00200522">
              <w:rPr>
                <w:rFonts w:asciiTheme="minorHAnsi" w:hAnsiTheme="minorHAnsi"/>
                <w:bCs/>
                <w:color w:val="auto"/>
                <w:sz w:val="22"/>
                <w:szCs w:val="22"/>
              </w:rPr>
              <w:t xml:space="preserve">8. Fulfil wider </w:t>
            </w:r>
            <w:r>
              <w:rPr>
                <w:rFonts w:asciiTheme="minorHAnsi" w:hAnsiTheme="minorHAnsi"/>
                <w:bCs/>
                <w:color w:val="auto"/>
                <w:sz w:val="22"/>
                <w:szCs w:val="22"/>
              </w:rPr>
              <w:t>professional responsibilities</w:t>
            </w:r>
          </w:p>
        </w:tc>
      </w:tr>
      <w:tr w:rsidR="000A22DA" w:rsidTr="00433018">
        <w:trPr>
          <w:trHeight w:val="1105"/>
        </w:trPr>
        <w:tc>
          <w:tcPr>
            <w:tcW w:w="1555" w:type="dxa"/>
            <w:vMerge/>
          </w:tcPr>
          <w:p w:rsidR="000A22DA" w:rsidRDefault="000A22DA" w:rsidP="0046597A">
            <w:pPr>
              <w:rPr>
                <w:rFonts w:ascii="Calibri" w:hAnsi="Calibri"/>
                <w:bCs/>
              </w:rPr>
            </w:pPr>
          </w:p>
        </w:tc>
        <w:tc>
          <w:tcPr>
            <w:tcW w:w="4547" w:type="dxa"/>
          </w:tcPr>
          <w:p w:rsidR="000A22DA" w:rsidRPr="001876F3" w:rsidRDefault="000A22DA" w:rsidP="0046597A">
            <w:pPr>
              <w:rPr>
                <w:rFonts w:ascii="Calibri" w:hAnsi="Calibri"/>
                <w:bCs/>
              </w:rPr>
            </w:pPr>
            <w:r w:rsidRPr="001876F3">
              <w:rPr>
                <w:rFonts w:ascii="Calibri" w:hAnsi="Calibri"/>
                <w:bCs/>
                <w:color w:val="000000"/>
              </w:rPr>
              <w:t>All schemes of work are fit for purpose and are scrutinised for quality. Where possible these are compared against other middle schools/outstanding schools.</w:t>
            </w:r>
          </w:p>
        </w:tc>
        <w:tc>
          <w:tcPr>
            <w:tcW w:w="2914" w:type="dxa"/>
            <w:vMerge/>
          </w:tcPr>
          <w:p w:rsidR="000A22DA" w:rsidRPr="00200522" w:rsidRDefault="000A22DA" w:rsidP="001876F3">
            <w:pPr>
              <w:pStyle w:val="Default"/>
              <w:rPr>
                <w:rFonts w:asciiTheme="minorHAnsi" w:hAnsiTheme="minorHAnsi"/>
                <w:sz w:val="22"/>
                <w:szCs w:val="22"/>
              </w:rPr>
            </w:pPr>
          </w:p>
        </w:tc>
      </w:tr>
      <w:tr w:rsidR="000A22DA" w:rsidTr="00433018">
        <w:trPr>
          <w:trHeight w:val="1138"/>
        </w:trPr>
        <w:tc>
          <w:tcPr>
            <w:tcW w:w="1555" w:type="dxa"/>
            <w:vMerge/>
          </w:tcPr>
          <w:p w:rsidR="000A22DA" w:rsidRPr="001876F3" w:rsidRDefault="000A22DA" w:rsidP="0046597A">
            <w:pPr>
              <w:rPr>
                <w:rFonts w:ascii="Calibri" w:hAnsi="Calibri"/>
                <w:bCs/>
                <w:color w:val="000000"/>
              </w:rPr>
            </w:pPr>
          </w:p>
        </w:tc>
        <w:tc>
          <w:tcPr>
            <w:tcW w:w="4547" w:type="dxa"/>
          </w:tcPr>
          <w:p w:rsidR="000A22DA" w:rsidRPr="00A17F37" w:rsidRDefault="000A22DA" w:rsidP="0046597A">
            <w:pPr>
              <w:rPr>
                <w:rFonts w:ascii="Calibri" w:hAnsi="Calibri"/>
                <w:bCs/>
                <w:color w:val="000000"/>
              </w:rPr>
            </w:pPr>
            <w:r w:rsidRPr="001876F3">
              <w:rPr>
                <w:rFonts w:ascii="Calibri" w:hAnsi="Calibri"/>
                <w:bCs/>
                <w:color w:val="000000"/>
              </w:rPr>
              <w:t>Audit assessment practices in each subject area to ensure they are robust and relate directly to 'I can' statements. Each department is expected to assess after each unit of work.</w:t>
            </w:r>
          </w:p>
        </w:tc>
        <w:tc>
          <w:tcPr>
            <w:tcW w:w="2914" w:type="dxa"/>
            <w:vMerge/>
          </w:tcPr>
          <w:p w:rsidR="000A22DA" w:rsidRDefault="000A22DA" w:rsidP="00200522">
            <w:pPr>
              <w:pStyle w:val="Default"/>
              <w:rPr>
                <w:sz w:val="28"/>
                <w:szCs w:val="28"/>
              </w:rPr>
            </w:pPr>
          </w:p>
        </w:tc>
      </w:tr>
      <w:tr w:rsidR="000A22DA" w:rsidTr="00433018">
        <w:tc>
          <w:tcPr>
            <w:tcW w:w="1555" w:type="dxa"/>
            <w:vMerge/>
          </w:tcPr>
          <w:p w:rsidR="000A22DA" w:rsidRPr="001876F3" w:rsidRDefault="000A22DA" w:rsidP="0046597A">
            <w:pPr>
              <w:rPr>
                <w:rFonts w:ascii="Calibri" w:hAnsi="Calibri"/>
                <w:bCs/>
                <w:color w:val="000000"/>
              </w:rPr>
            </w:pPr>
          </w:p>
        </w:tc>
        <w:tc>
          <w:tcPr>
            <w:tcW w:w="4547" w:type="dxa"/>
          </w:tcPr>
          <w:p w:rsidR="000A22DA" w:rsidRPr="00A17F37" w:rsidRDefault="000A22DA" w:rsidP="0046597A">
            <w:pPr>
              <w:rPr>
                <w:rFonts w:ascii="Calibri" w:hAnsi="Calibri"/>
                <w:bCs/>
                <w:color w:val="000000"/>
              </w:rPr>
            </w:pPr>
            <w:r w:rsidRPr="001876F3">
              <w:rPr>
                <w:rFonts w:ascii="Calibri" w:hAnsi="Calibri"/>
                <w:bCs/>
                <w:color w:val="000000"/>
              </w:rPr>
              <w:t>Effective systems are in place to ensure each pupil knows how well they are doing in every subject.</w:t>
            </w:r>
          </w:p>
        </w:tc>
        <w:tc>
          <w:tcPr>
            <w:tcW w:w="2914" w:type="dxa"/>
            <w:vMerge/>
          </w:tcPr>
          <w:p w:rsidR="000A22DA" w:rsidRDefault="000A22DA" w:rsidP="00200522">
            <w:pPr>
              <w:pStyle w:val="Default"/>
              <w:rPr>
                <w:sz w:val="28"/>
                <w:szCs w:val="28"/>
              </w:rPr>
            </w:pPr>
          </w:p>
        </w:tc>
      </w:tr>
      <w:tr w:rsidR="000A22DA" w:rsidTr="00433018">
        <w:tc>
          <w:tcPr>
            <w:tcW w:w="1555" w:type="dxa"/>
            <w:vMerge/>
          </w:tcPr>
          <w:p w:rsidR="000A22DA" w:rsidRPr="001876F3" w:rsidRDefault="000A22DA" w:rsidP="0046597A">
            <w:pPr>
              <w:rPr>
                <w:rFonts w:ascii="Calibri" w:hAnsi="Calibri"/>
                <w:bCs/>
                <w:color w:val="000000"/>
              </w:rPr>
            </w:pPr>
          </w:p>
        </w:tc>
        <w:tc>
          <w:tcPr>
            <w:tcW w:w="4547" w:type="dxa"/>
          </w:tcPr>
          <w:p w:rsidR="000A22DA" w:rsidRPr="00A17F37" w:rsidRDefault="000A22DA" w:rsidP="0046597A">
            <w:pPr>
              <w:rPr>
                <w:rFonts w:ascii="Calibri" w:hAnsi="Calibri"/>
                <w:bCs/>
                <w:color w:val="000000"/>
              </w:rPr>
            </w:pPr>
            <w:r w:rsidRPr="001876F3">
              <w:rPr>
                <w:rFonts w:ascii="Calibri" w:hAnsi="Calibri"/>
                <w:bCs/>
                <w:color w:val="000000"/>
              </w:rPr>
              <w:t>Marking, feedback and assessment is rigorous, robust and fit for purpose.</w:t>
            </w:r>
          </w:p>
        </w:tc>
        <w:tc>
          <w:tcPr>
            <w:tcW w:w="2914" w:type="dxa"/>
            <w:vMerge/>
          </w:tcPr>
          <w:p w:rsidR="000A22DA" w:rsidRDefault="000A22DA" w:rsidP="00200522">
            <w:pPr>
              <w:pStyle w:val="Default"/>
              <w:rPr>
                <w:sz w:val="28"/>
                <w:szCs w:val="28"/>
              </w:rPr>
            </w:pPr>
          </w:p>
        </w:tc>
      </w:tr>
      <w:tr w:rsidR="000A22DA" w:rsidTr="00433018">
        <w:tc>
          <w:tcPr>
            <w:tcW w:w="1555" w:type="dxa"/>
            <w:vMerge/>
          </w:tcPr>
          <w:p w:rsidR="000A22DA" w:rsidRPr="001876F3" w:rsidRDefault="000A22DA" w:rsidP="0046597A">
            <w:pPr>
              <w:rPr>
                <w:rFonts w:ascii="Calibri" w:hAnsi="Calibri"/>
                <w:bCs/>
                <w:color w:val="000000"/>
              </w:rPr>
            </w:pPr>
          </w:p>
        </w:tc>
        <w:tc>
          <w:tcPr>
            <w:tcW w:w="4547" w:type="dxa"/>
          </w:tcPr>
          <w:p w:rsidR="000A22DA" w:rsidRPr="00A17F37" w:rsidRDefault="000A22DA" w:rsidP="0046597A">
            <w:pPr>
              <w:rPr>
                <w:rFonts w:ascii="Calibri" w:hAnsi="Calibri"/>
                <w:bCs/>
                <w:color w:val="000000"/>
              </w:rPr>
            </w:pPr>
            <w:r w:rsidRPr="001876F3">
              <w:rPr>
                <w:rFonts w:ascii="Calibri" w:hAnsi="Calibri"/>
                <w:bCs/>
              </w:rPr>
              <w:t>Use the EIF to guide and inform the QA process to ensure that work is appropriate, inclusive and progressive</w:t>
            </w:r>
            <w:r>
              <w:rPr>
                <w:rFonts w:ascii="Calibri" w:hAnsi="Calibri"/>
                <w:bCs/>
              </w:rPr>
              <w:t>.</w:t>
            </w:r>
          </w:p>
        </w:tc>
        <w:tc>
          <w:tcPr>
            <w:tcW w:w="2914" w:type="dxa"/>
            <w:vMerge/>
          </w:tcPr>
          <w:p w:rsidR="000A22DA" w:rsidRDefault="000A22DA" w:rsidP="00200522">
            <w:pPr>
              <w:pStyle w:val="Default"/>
              <w:rPr>
                <w:sz w:val="28"/>
                <w:szCs w:val="28"/>
              </w:rPr>
            </w:pPr>
          </w:p>
        </w:tc>
      </w:tr>
      <w:tr w:rsidR="000A22DA" w:rsidTr="00433018">
        <w:trPr>
          <w:trHeight w:val="830"/>
        </w:trPr>
        <w:tc>
          <w:tcPr>
            <w:tcW w:w="1555" w:type="dxa"/>
            <w:vMerge/>
          </w:tcPr>
          <w:p w:rsidR="000A22DA" w:rsidRDefault="000A22DA" w:rsidP="0046597A">
            <w:pPr>
              <w:rPr>
                <w:rFonts w:ascii="Calibri" w:hAnsi="Calibri"/>
                <w:bCs/>
              </w:rPr>
            </w:pPr>
          </w:p>
        </w:tc>
        <w:tc>
          <w:tcPr>
            <w:tcW w:w="4547" w:type="dxa"/>
          </w:tcPr>
          <w:p w:rsidR="000A22DA" w:rsidRPr="00433018" w:rsidRDefault="000A22DA" w:rsidP="00145C86">
            <w:pPr>
              <w:rPr>
                <w:rFonts w:ascii="Calibri" w:hAnsi="Calibri"/>
                <w:bCs/>
                <w:color w:val="000000"/>
              </w:rPr>
            </w:pPr>
            <w:r w:rsidRPr="00433018">
              <w:rPr>
                <w:rFonts w:ascii="Calibri" w:hAnsi="Calibri"/>
                <w:bCs/>
                <w:color w:val="000000"/>
              </w:rPr>
              <w:t>Use target setting procedures to implement expectations and benchmarks with core and foundation subjects.</w:t>
            </w:r>
          </w:p>
        </w:tc>
        <w:tc>
          <w:tcPr>
            <w:tcW w:w="2914" w:type="dxa"/>
            <w:vMerge/>
          </w:tcPr>
          <w:p w:rsidR="000A22DA" w:rsidRDefault="000A22DA" w:rsidP="00200522">
            <w:pPr>
              <w:pStyle w:val="Default"/>
              <w:rPr>
                <w:sz w:val="28"/>
                <w:szCs w:val="28"/>
              </w:rPr>
            </w:pPr>
          </w:p>
        </w:tc>
      </w:tr>
      <w:tr w:rsidR="000A22DA" w:rsidTr="00433018">
        <w:trPr>
          <w:trHeight w:val="830"/>
        </w:trPr>
        <w:tc>
          <w:tcPr>
            <w:tcW w:w="1555" w:type="dxa"/>
            <w:vMerge/>
          </w:tcPr>
          <w:p w:rsidR="000A22DA" w:rsidRDefault="000A22DA" w:rsidP="0046597A">
            <w:pPr>
              <w:rPr>
                <w:rFonts w:ascii="Calibri" w:hAnsi="Calibri"/>
                <w:bCs/>
              </w:rPr>
            </w:pPr>
          </w:p>
        </w:tc>
        <w:tc>
          <w:tcPr>
            <w:tcW w:w="4547" w:type="dxa"/>
          </w:tcPr>
          <w:p w:rsidR="000A22DA" w:rsidRPr="00433018" w:rsidRDefault="000A22DA" w:rsidP="00145C86">
            <w:pPr>
              <w:rPr>
                <w:rFonts w:ascii="Calibri" w:hAnsi="Calibri"/>
                <w:bCs/>
                <w:color w:val="000000"/>
              </w:rPr>
            </w:pPr>
            <w:r>
              <w:rPr>
                <w:rFonts w:ascii="Calibri" w:hAnsi="Calibri"/>
                <w:bCs/>
                <w:color w:val="000000"/>
              </w:rPr>
              <w:t xml:space="preserve">Staff are integral to and responsible for </w:t>
            </w:r>
            <w:r w:rsidRPr="00433018">
              <w:rPr>
                <w:rFonts w:ascii="Calibri" w:hAnsi="Calibri"/>
                <w:bCs/>
                <w:color w:val="000000"/>
              </w:rPr>
              <w:t>improving their own teaching and learning and know how to deliver high quality lessons</w:t>
            </w:r>
            <w:r>
              <w:rPr>
                <w:rFonts w:ascii="Calibri" w:hAnsi="Calibri"/>
                <w:bCs/>
                <w:color w:val="000000"/>
              </w:rPr>
              <w:t>.</w:t>
            </w:r>
          </w:p>
        </w:tc>
        <w:tc>
          <w:tcPr>
            <w:tcW w:w="2914" w:type="dxa"/>
            <w:vMerge/>
          </w:tcPr>
          <w:p w:rsidR="000A22DA" w:rsidRDefault="000A22DA" w:rsidP="00200522">
            <w:pPr>
              <w:pStyle w:val="Default"/>
              <w:rPr>
                <w:sz w:val="28"/>
                <w:szCs w:val="28"/>
              </w:rPr>
            </w:pPr>
          </w:p>
        </w:tc>
      </w:tr>
      <w:tr w:rsidR="00DA4A2F" w:rsidTr="00433018">
        <w:trPr>
          <w:trHeight w:val="1126"/>
        </w:trPr>
        <w:tc>
          <w:tcPr>
            <w:tcW w:w="1555" w:type="dxa"/>
            <w:vMerge w:val="restart"/>
          </w:tcPr>
          <w:p w:rsidR="00DA4A2F" w:rsidRPr="001876F3" w:rsidRDefault="00DA4A2F" w:rsidP="0046597A">
            <w:pPr>
              <w:rPr>
                <w:rFonts w:ascii="Calibri" w:hAnsi="Calibri"/>
                <w:bCs/>
              </w:rPr>
            </w:pPr>
            <w:r>
              <w:rPr>
                <w:rFonts w:ascii="Calibri" w:hAnsi="Calibri"/>
                <w:bCs/>
              </w:rPr>
              <w:t>Leadership and Management</w:t>
            </w:r>
          </w:p>
        </w:tc>
        <w:tc>
          <w:tcPr>
            <w:tcW w:w="4547" w:type="dxa"/>
          </w:tcPr>
          <w:p w:rsidR="00DA4A2F" w:rsidRPr="00433018" w:rsidRDefault="00DA4A2F" w:rsidP="0046597A">
            <w:pPr>
              <w:rPr>
                <w:rFonts w:ascii="Calibri" w:hAnsi="Calibri"/>
                <w:color w:val="000000"/>
              </w:rPr>
            </w:pPr>
            <w:r w:rsidRPr="00433018">
              <w:rPr>
                <w:rFonts w:ascii="Calibri" w:hAnsi="Calibri"/>
                <w:bCs/>
                <w:color w:val="000000"/>
              </w:rPr>
              <w:t>Leaders and governors have a deep and accurate understanding of the school’s effectiveness by using and analysing a variety of sources.</w:t>
            </w:r>
          </w:p>
        </w:tc>
        <w:tc>
          <w:tcPr>
            <w:tcW w:w="2914" w:type="dxa"/>
            <w:vMerge/>
          </w:tcPr>
          <w:p w:rsidR="00DA4A2F" w:rsidRDefault="00DA4A2F" w:rsidP="00200522">
            <w:pPr>
              <w:pStyle w:val="Default"/>
              <w:rPr>
                <w:sz w:val="28"/>
                <w:szCs w:val="28"/>
              </w:rPr>
            </w:pPr>
          </w:p>
        </w:tc>
      </w:tr>
      <w:tr w:rsidR="00DA4A2F" w:rsidTr="00DA4A2F">
        <w:trPr>
          <w:trHeight w:val="933"/>
        </w:trPr>
        <w:tc>
          <w:tcPr>
            <w:tcW w:w="1555" w:type="dxa"/>
            <w:vMerge/>
          </w:tcPr>
          <w:p w:rsidR="00DA4A2F" w:rsidRPr="001876F3" w:rsidRDefault="00DA4A2F" w:rsidP="0046597A">
            <w:pPr>
              <w:rPr>
                <w:rFonts w:ascii="Calibri" w:hAnsi="Calibri"/>
                <w:bCs/>
              </w:rPr>
            </w:pPr>
          </w:p>
        </w:tc>
        <w:tc>
          <w:tcPr>
            <w:tcW w:w="4547" w:type="dxa"/>
          </w:tcPr>
          <w:p w:rsidR="00DA4A2F" w:rsidRPr="00433018" w:rsidRDefault="00DA4A2F" w:rsidP="0046597A">
            <w:pPr>
              <w:rPr>
                <w:rFonts w:ascii="Calibri" w:hAnsi="Calibri"/>
                <w:bCs/>
                <w:color w:val="000000"/>
              </w:rPr>
            </w:pPr>
            <w:r w:rsidRPr="00433018">
              <w:rPr>
                <w:rFonts w:ascii="Calibri" w:hAnsi="Calibri"/>
                <w:bCs/>
                <w:color w:val="000000"/>
              </w:rPr>
              <w:t>Ensure that Performance Management targets address the areas of weakness within the school – Reading, Boys attainment, SEN</w:t>
            </w:r>
          </w:p>
        </w:tc>
        <w:tc>
          <w:tcPr>
            <w:tcW w:w="2914" w:type="dxa"/>
            <w:vMerge/>
          </w:tcPr>
          <w:p w:rsidR="00DA4A2F" w:rsidRDefault="00DA4A2F" w:rsidP="00200522">
            <w:pPr>
              <w:pStyle w:val="Default"/>
              <w:rPr>
                <w:sz w:val="28"/>
                <w:szCs w:val="28"/>
              </w:rPr>
            </w:pPr>
          </w:p>
        </w:tc>
      </w:tr>
      <w:tr w:rsidR="00DA4A2F" w:rsidTr="00433018">
        <w:trPr>
          <w:trHeight w:val="809"/>
        </w:trPr>
        <w:tc>
          <w:tcPr>
            <w:tcW w:w="1555" w:type="dxa"/>
            <w:vMerge/>
          </w:tcPr>
          <w:p w:rsidR="00DA4A2F" w:rsidRPr="001876F3" w:rsidRDefault="00DA4A2F" w:rsidP="0046597A">
            <w:pPr>
              <w:rPr>
                <w:rFonts w:ascii="Calibri" w:hAnsi="Calibri"/>
                <w:bCs/>
              </w:rPr>
            </w:pPr>
          </w:p>
        </w:tc>
        <w:tc>
          <w:tcPr>
            <w:tcW w:w="4547" w:type="dxa"/>
          </w:tcPr>
          <w:p w:rsidR="00DA4A2F" w:rsidRPr="00433018" w:rsidRDefault="00DA4A2F" w:rsidP="00145C86">
            <w:pPr>
              <w:rPr>
                <w:rFonts w:ascii="Calibri" w:hAnsi="Calibri"/>
                <w:bCs/>
                <w:color w:val="000000"/>
              </w:rPr>
            </w:pPr>
            <w:r w:rsidRPr="00433018">
              <w:rPr>
                <w:rFonts w:ascii="Calibri" w:hAnsi="Calibri"/>
                <w:bCs/>
                <w:color w:val="000000"/>
              </w:rPr>
              <w:t xml:space="preserve">Invest in high quality professional development to support the improvement and effectiveness of staff and governors </w:t>
            </w:r>
          </w:p>
          <w:p w:rsidR="00DA4A2F" w:rsidRPr="001876F3" w:rsidRDefault="00DA4A2F" w:rsidP="0046597A">
            <w:pPr>
              <w:rPr>
                <w:rFonts w:ascii="Calibri" w:hAnsi="Calibri"/>
                <w:bCs/>
              </w:rPr>
            </w:pPr>
          </w:p>
        </w:tc>
        <w:tc>
          <w:tcPr>
            <w:tcW w:w="2914" w:type="dxa"/>
            <w:vMerge/>
          </w:tcPr>
          <w:p w:rsidR="00DA4A2F" w:rsidRDefault="00DA4A2F" w:rsidP="00200522">
            <w:pPr>
              <w:pStyle w:val="Default"/>
              <w:rPr>
                <w:sz w:val="28"/>
                <w:szCs w:val="28"/>
              </w:rPr>
            </w:pPr>
          </w:p>
        </w:tc>
      </w:tr>
      <w:tr w:rsidR="00DA4A2F" w:rsidTr="00DA4A2F">
        <w:trPr>
          <w:trHeight w:val="525"/>
        </w:trPr>
        <w:tc>
          <w:tcPr>
            <w:tcW w:w="1555" w:type="dxa"/>
            <w:vMerge/>
          </w:tcPr>
          <w:p w:rsidR="00DA4A2F" w:rsidRPr="001876F3" w:rsidRDefault="00DA4A2F" w:rsidP="0046597A">
            <w:pPr>
              <w:rPr>
                <w:rFonts w:ascii="Calibri" w:hAnsi="Calibri"/>
                <w:bCs/>
              </w:rPr>
            </w:pPr>
          </w:p>
        </w:tc>
        <w:tc>
          <w:tcPr>
            <w:tcW w:w="4547" w:type="dxa"/>
          </w:tcPr>
          <w:p w:rsidR="00DA4A2F" w:rsidRPr="00433018" w:rsidRDefault="00DA4A2F" w:rsidP="00145C86">
            <w:pPr>
              <w:rPr>
                <w:rFonts w:ascii="Calibri" w:hAnsi="Calibri"/>
                <w:bCs/>
                <w:color w:val="000000"/>
              </w:rPr>
            </w:pPr>
            <w:r>
              <w:rPr>
                <w:rFonts w:ascii="Calibri" w:hAnsi="Calibri"/>
                <w:bCs/>
                <w:color w:val="000000"/>
              </w:rPr>
              <w:t>Introduce the new QA process</w:t>
            </w:r>
          </w:p>
        </w:tc>
        <w:tc>
          <w:tcPr>
            <w:tcW w:w="2914" w:type="dxa"/>
          </w:tcPr>
          <w:p w:rsidR="00DA4A2F" w:rsidRDefault="00DA4A2F" w:rsidP="00200522">
            <w:pPr>
              <w:pStyle w:val="Default"/>
              <w:rPr>
                <w:sz w:val="28"/>
                <w:szCs w:val="28"/>
              </w:rPr>
            </w:pPr>
          </w:p>
        </w:tc>
      </w:tr>
    </w:tbl>
    <w:p w:rsidR="006C5CA8" w:rsidRDefault="006C5CA8" w:rsidP="006C5CA8">
      <w:pPr>
        <w:rPr>
          <w:sz w:val="28"/>
          <w:szCs w:val="28"/>
        </w:rPr>
      </w:pPr>
    </w:p>
    <w:tbl>
      <w:tblPr>
        <w:tblStyle w:val="TableGrid"/>
        <w:tblW w:w="0" w:type="auto"/>
        <w:tblLook w:val="04A0" w:firstRow="1" w:lastRow="0" w:firstColumn="1" w:lastColumn="0" w:noHBand="0" w:noVBand="1"/>
      </w:tblPr>
      <w:tblGrid>
        <w:gridCol w:w="1427"/>
        <w:gridCol w:w="4384"/>
        <w:gridCol w:w="3205"/>
      </w:tblGrid>
      <w:tr w:rsidR="00956DD4" w:rsidRPr="001876F3" w:rsidTr="00E833CC">
        <w:tc>
          <w:tcPr>
            <w:tcW w:w="9016" w:type="dxa"/>
            <w:gridSpan w:val="3"/>
            <w:shd w:val="clear" w:color="auto" w:fill="DEEAF6" w:themeFill="accent1" w:themeFillTint="33"/>
          </w:tcPr>
          <w:p w:rsidR="00956DD4" w:rsidRPr="00A17F37" w:rsidRDefault="00956DD4" w:rsidP="00956DD4">
            <w:pPr>
              <w:jc w:val="center"/>
              <w:rPr>
                <w:sz w:val="24"/>
                <w:szCs w:val="24"/>
              </w:rPr>
            </w:pPr>
            <w:r w:rsidRPr="00A17F37">
              <w:rPr>
                <w:sz w:val="24"/>
                <w:szCs w:val="24"/>
              </w:rPr>
              <w:t xml:space="preserve">Priority  2 </w:t>
            </w:r>
          </w:p>
        </w:tc>
      </w:tr>
      <w:tr w:rsidR="00956DD4" w:rsidRPr="001876F3" w:rsidTr="00490738">
        <w:tc>
          <w:tcPr>
            <w:tcW w:w="9016" w:type="dxa"/>
            <w:gridSpan w:val="3"/>
            <w:shd w:val="clear" w:color="auto" w:fill="FFFFFF" w:themeFill="background1"/>
          </w:tcPr>
          <w:p w:rsidR="00956DD4" w:rsidRDefault="00956DD4" w:rsidP="001363FC">
            <w:r>
              <w:t>Engage effectively with parents, stakeholders and the wider community to gauge views and perspectives which drive school improvement forward.</w:t>
            </w:r>
          </w:p>
          <w:p w:rsidR="00956DD4" w:rsidRPr="001876F3" w:rsidRDefault="00956DD4" w:rsidP="001363FC"/>
        </w:tc>
      </w:tr>
      <w:tr w:rsidR="0044426F" w:rsidRPr="001876F3" w:rsidTr="00433018">
        <w:tc>
          <w:tcPr>
            <w:tcW w:w="1427" w:type="dxa"/>
            <w:shd w:val="clear" w:color="auto" w:fill="DEEAF6" w:themeFill="accent1" w:themeFillTint="33"/>
          </w:tcPr>
          <w:p w:rsidR="0044426F" w:rsidRPr="001876F3" w:rsidRDefault="00956DD4" w:rsidP="001363FC">
            <w:r>
              <w:t>Focus Area</w:t>
            </w:r>
          </w:p>
        </w:tc>
        <w:tc>
          <w:tcPr>
            <w:tcW w:w="4384" w:type="dxa"/>
            <w:shd w:val="clear" w:color="auto" w:fill="DEEAF6" w:themeFill="accent1" w:themeFillTint="33"/>
          </w:tcPr>
          <w:p w:rsidR="0044426F" w:rsidRPr="001876F3" w:rsidRDefault="0044426F" w:rsidP="001363FC">
            <w:r w:rsidRPr="001876F3">
              <w:t>Linked SDP Objectives</w:t>
            </w:r>
          </w:p>
        </w:tc>
        <w:tc>
          <w:tcPr>
            <w:tcW w:w="3205" w:type="dxa"/>
            <w:shd w:val="clear" w:color="auto" w:fill="DEEAF6" w:themeFill="accent1" w:themeFillTint="33"/>
          </w:tcPr>
          <w:p w:rsidR="0044426F" w:rsidRPr="001876F3" w:rsidRDefault="0044426F" w:rsidP="001363FC">
            <w:r w:rsidRPr="001876F3">
              <w:t>Teacher Standards</w:t>
            </w:r>
          </w:p>
        </w:tc>
      </w:tr>
      <w:tr w:rsidR="00433018" w:rsidTr="00433018">
        <w:trPr>
          <w:trHeight w:val="950"/>
        </w:trPr>
        <w:tc>
          <w:tcPr>
            <w:tcW w:w="1427" w:type="dxa"/>
            <w:vMerge w:val="restart"/>
          </w:tcPr>
          <w:p w:rsidR="00433018" w:rsidRPr="00A17F37" w:rsidRDefault="00433018" w:rsidP="001363FC">
            <w:pPr>
              <w:rPr>
                <w:rFonts w:ascii="Calibri" w:hAnsi="Calibri"/>
                <w:bCs/>
              </w:rPr>
            </w:pPr>
            <w:r>
              <w:rPr>
                <w:rFonts w:ascii="Calibri" w:hAnsi="Calibri"/>
                <w:bCs/>
              </w:rPr>
              <w:lastRenderedPageBreak/>
              <w:t>Leadership and Management</w:t>
            </w:r>
          </w:p>
        </w:tc>
        <w:tc>
          <w:tcPr>
            <w:tcW w:w="4384" w:type="dxa"/>
          </w:tcPr>
          <w:p w:rsidR="00433018" w:rsidRPr="00A17F37" w:rsidRDefault="00433018" w:rsidP="001363FC">
            <w:pPr>
              <w:rPr>
                <w:rFonts w:ascii="Calibri" w:hAnsi="Calibri"/>
                <w:bCs/>
                <w:color w:val="FF0000"/>
              </w:rPr>
            </w:pPr>
            <w:r w:rsidRPr="00A17F37">
              <w:rPr>
                <w:rFonts w:ascii="Calibri" w:hAnsi="Calibri"/>
                <w:bCs/>
              </w:rPr>
              <w:t>Enhance parental engagement to support their child's learning in response to Covid-19</w:t>
            </w:r>
          </w:p>
        </w:tc>
        <w:tc>
          <w:tcPr>
            <w:tcW w:w="3205" w:type="dxa"/>
            <w:vMerge w:val="restart"/>
          </w:tcPr>
          <w:p w:rsidR="00433018" w:rsidRPr="00200522" w:rsidRDefault="00433018" w:rsidP="00A17F37">
            <w:pPr>
              <w:pStyle w:val="Default"/>
              <w:rPr>
                <w:rFonts w:asciiTheme="minorHAnsi" w:hAnsiTheme="minorHAnsi"/>
                <w:bCs/>
                <w:color w:val="auto"/>
                <w:sz w:val="22"/>
                <w:szCs w:val="22"/>
              </w:rPr>
            </w:pPr>
            <w:r w:rsidRPr="00200522">
              <w:rPr>
                <w:rFonts w:asciiTheme="minorHAnsi" w:hAnsiTheme="minorHAnsi"/>
                <w:bCs/>
                <w:color w:val="auto"/>
                <w:sz w:val="22"/>
                <w:szCs w:val="22"/>
              </w:rPr>
              <w:t xml:space="preserve">5. Adapt teaching to respond to the strengths and needs of all pupils </w:t>
            </w:r>
          </w:p>
          <w:p w:rsidR="00433018" w:rsidRPr="00A17F37" w:rsidRDefault="00433018" w:rsidP="00A17F37">
            <w:pPr>
              <w:pStyle w:val="Default"/>
              <w:spacing w:after="331"/>
              <w:rPr>
                <w:rFonts w:asciiTheme="minorHAnsi" w:hAnsiTheme="minorHAnsi"/>
                <w:bCs/>
                <w:color w:val="auto"/>
                <w:sz w:val="22"/>
                <w:szCs w:val="22"/>
              </w:rPr>
            </w:pPr>
            <w:r w:rsidRPr="00200522">
              <w:rPr>
                <w:rFonts w:asciiTheme="minorHAnsi" w:hAnsiTheme="minorHAnsi"/>
                <w:bCs/>
                <w:color w:val="auto"/>
                <w:sz w:val="22"/>
                <w:szCs w:val="22"/>
              </w:rPr>
              <w:t>8. Fulfil wider professional responsibilities</w:t>
            </w:r>
          </w:p>
        </w:tc>
      </w:tr>
      <w:tr w:rsidR="00433018" w:rsidTr="000A22DA">
        <w:trPr>
          <w:trHeight w:val="1189"/>
        </w:trPr>
        <w:tc>
          <w:tcPr>
            <w:tcW w:w="1427" w:type="dxa"/>
            <w:vMerge/>
          </w:tcPr>
          <w:p w:rsidR="00433018" w:rsidRPr="0044426F" w:rsidRDefault="00433018" w:rsidP="00A17F37">
            <w:pPr>
              <w:rPr>
                <w:rFonts w:ascii="Calibri" w:hAnsi="Calibri"/>
                <w:bCs/>
                <w:color w:val="000000"/>
              </w:rPr>
            </w:pPr>
          </w:p>
        </w:tc>
        <w:tc>
          <w:tcPr>
            <w:tcW w:w="4384" w:type="dxa"/>
          </w:tcPr>
          <w:p w:rsidR="00433018" w:rsidRPr="001D603F" w:rsidRDefault="00433018" w:rsidP="00A17F37">
            <w:pPr>
              <w:rPr>
                <w:rFonts w:ascii="Calibri" w:hAnsi="Calibri"/>
                <w:bCs/>
                <w:color w:val="000000"/>
              </w:rPr>
            </w:pPr>
            <w:r w:rsidRPr="0044426F">
              <w:rPr>
                <w:rFonts w:ascii="Calibri" w:hAnsi="Calibri"/>
                <w:bCs/>
                <w:color w:val="000000"/>
              </w:rPr>
              <w:t>Leaders and governors will develop ways of collating the views of staff and parents in order to info</w:t>
            </w:r>
            <w:r w:rsidR="000A22DA">
              <w:rPr>
                <w:rFonts w:ascii="Calibri" w:hAnsi="Calibri"/>
                <w:bCs/>
                <w:color w:val="000000"/>
              </w:rPr>
              <w:t>rm and drive school improvement.</w:t>
            </w:r>
            <w:r w:rsidRPr="0044426F">
              <w:rPr>
                <w:rFonts w:ascii="Calibri" w:hAnsi="Calibri"/>
                <w:bCs/>
                <w:color w:val="000000"/>
              </w:rPr>
              <w:t xml:space="preserve"> </w:t>
            </w:r>
          </w:p>
        </w:tc>
        <w:tc>
          <w:tcPr>
            <w:tcW w:w="3205" w:type="dxa"/>
            <w:vMerge/>
          </w:tcPr>
          <w:p w:rsidR="00433018" w:rsidRPr="00200522" w:rsidRDefault="00433018" w:rsidP="001363FC">
            <w:pPr>
              <w:pStyle w:val="Default"/>
              <w:rPr>
                <w:rFonts w:asciiTheme="minorHAnsi" w:hAnsiTheme="minorHAnsi"/>
                <w:sz w:val="22"/>
                <w:szCs w:val="22"/>
              </w:rPr>
            </w:pPr>
          </w:p>
        </w:tc>
      </w:tr>
      <w:tr w:rsidR="00433018" w:rsidTr="00433018">
        <w:trPr>
          <w:trHeight w:val="1234"/>
        </w:trPr>
        <w:tc>
          <w:tcPr>
            <w:tcW w:w="1427" w:type="dxa"/>
            <w:vMerge/>
          </w:tcPr>
          <w:p w:rsidR="00433018" w:rsidRPr="0044426F" w:rsidRDefault="00433018" w:rsidP="00A17F37">
            <w:pPr>
              <w:rPr>
                <w:rFonts w:ascii="Calibri" w:hAnsi="Calibri"/>
                <w:bCs/>
                <w:color w:val="000000"/>
              </w:rPr>
            </w:pPr>
          </w:p>
        </w:tc>
        <w:tc>
          <w:tcPr>
            <w:tcW w:w="4384" w:type="dxa"/>
          </w:tcPr>
          <w:p w:rsidR="00433018" w:rsidRPr="0044426F" w:rsidRDefault="00433018" w:rsidP="00A17F37">
            <w:pPr>
              <w:rPr>
                <w:rFonts w:ascii="Calibri" w:hAnsi="Calibri"/>
                <w:color w:val="000000"/>
              </w:rPr>
            </w:pPr>
            <w:r w:rsidRPr="0044426F">
              <w:rPr>
                <w:rFonts w:ascii="Calibri" w:hAnsi="Calibri"/>
                <w:bCs/>
                <w:color w:val="000000"/>
              </w:rPr>
              <w:t>Leaders and governors have a deep and accurate understanding of the school’s effectiveness by using and analysing a variety of sources.</w:t>
            </w:r>
          </w:p>
        </w:tc>
        <w:tc>
          <w:tcPr>
            <w:tcW w:w="3205" w:type="dxa"/>
            <w:vMerge/>
          </w:tcPr>
          <w:p w:rsidR="00433018" w:rsidRPr="00200522" w:rsidRDefault="00433018" w:rsidP="001363FC">
            <w:pPr>
              <w:pStyle w:val="Default"/>
              <w:rPr>
                <w:rFonts w:asciiTheme="minorHAnsi" w:hAnsiTheme="minorHAnsi"/>
                <w:sz w:val="22"/>
                <w:szCs w:val="22"/>
              </w:rPr>
            </w:pPr>
          </w:p>
        </w:tc>
      </w:tr>
      <w:tr w:rsidR="00433018" w:rsidTr="00433018">
        <w:trPr>
          <w:trHeight w:val="1234"/>
        </w:trPr>
        <w:tc>
          <w:tcPr>
            <w:tcW w:w="1427" w:type="dxa"/>
          </w:tcPr>
          <w:p w:rsidR="00433018" w:rsidRPr="0044426F" w:rsidRDefault="00433018" w:rsidP="00A17F37">
            <w:pPr>
              <w:rPr>
                <w:rFonts w:ascii="Calibri" w:hAnsi="Calibri"/>
                <w:bCs/>
                <w:color w:val="000000"/>
              </w:rPr>
            </w:pPr>
            <w:r>
              <w:rPr>
                <w:rFonts w:ascii="Calibri" w:hAnsi="Calibri"/>
                <w:bCs/>
                <w:color w:val="000000"/>
              </w:rPr>
              <w:t>Behaviour and Attitudes</w:t>
            </w:r>
          </w:p>
        </w:tc>
        <w:tc>
          <w:tcPr>
            <w:tcW w:w="4384" w:type="dxa"/>
          </w:tcPr>
          <w:p w:rsidR="00433018" w:rsidRPr="00145C86" w:rsidRDefault="00433018" w:rsidP="00145C86">
            <w:pPr>
              <w:rPr>
                <w:rFonts w:ascii="Calibri" w:hAnsi="Calibri"/>
                <w:bCs/>
                <w:color w:val="000000"/>
              </w:rPr>
            </w:pPr>
            <w:r w:rsidRPr="00145C86">
              <w:rPr>
                <w:rFonts w:ascii="Calibri" w:hAnsi="Calibri"/>
                <w:bCs/>
                <w:color w:val="000000"/>
              </w:rPr>
              <w:t>Pupils are happy to come to school and value their education</w:t>
            </w:r>
            <w:r w:rsidR="00B71241">
              <w:rPr>
                <w:rFonts w:ascii="Calibri" w:hAnsi="Calibri"/>
                <w:bCs/>
                <w:color w:val="000000"/>
              </w:rPr>
              <w:t>.</w:t>
            </w:r>
          </w:p>
          <w:p w:rsidR="00433018" w:rsidRDefault="00433018" w:rsidP="00B71241">
            <w:pPr>
              <w:rPr>
                <w:rFonts w:ascii="Calibri" w:hAnsi="Calibri"/>
                <w:bCs/>
                <w:color w:val="000000"/>
              </w:rPr>
            </w:pPr>
            <w:r w:rsidRPr="00B71241">
              <w:rPr>
                <w:rFonts w:ascii="Calibri" w:hAnsi="Calibri"/>
                <w:bCs/>
                <w:color w:val="000000"/>
              </w:rPr>
              <w:t xml:space="preserve">Pupils are recognised </w:t>
            </w:r>
            <w:r w:rsidR="00B71241" w:rsidRPr="00B71241">
              <w:rPr>
                <w:rFonts w:ascii="Calibri" w:hAnsi="Calibri"/>
                <w:bCs/>
                <w:color w:val="000000"/>
              </w:rPr>
              <w:t xml:space="preserve">and celebrated </w:t>
            </w:r>
            <w:r w:rsidRPr="00B71241">
              <w:rPr>
                <w:rFonts w:ascii="Calibri" w:hAnsi="Calibri"/>
                <w:bCs/>
                <w:color w:val="000000"/>
              </w:rPr>
              <w:t>for their positive contributions to learning</w:t>
            </w:r>
            <w:r w:rsidR="00B71241" w:rsidRPr="00B71241">
              <w:rPr>
                <w:rFonts w:ascii="Calibri" w:hAnsi="Calibri"/>
                <w:bCs/>
                <w:color w:val="000000"/>
              </w:rPr>
              <w:t xml:space="preserve">, both in school and externally </w:t>
            </w:r>
            <w:r w:rsidRPr="00B71241">
              <w:rPr>
                <w:rFonts w:ascii="Calibri" w:hAnsi="Calibri"/>
                <w:bCs/>
                <w:color w:val="000000"/>
              </w:rPr>
              <w:t xml:space="preserve">and </w:t>
            </w:r>
            <w:r w:rsidR="00B71241" w:rsidRPr="00B71241">
              <w:rPr>
                <w:rFonts w:ascii="Calibri" w:hAnsi="Calibri"/>
                <w:bCs/>
                <w:color w:val="000000"/>
              </w:rPr>
              <w:t xml:space="preserve">for </w:t>
            </w:r>
            <w:r w:rsidRPr="00B71241">
              <w:rPr>
                <w:rFonts w:ascii="Calibri" w:hAnsi="Calibri"/>
                <w:bCs/>
                <w:color w:val="000000"/>
              </w:rPr>
              <w:t>their resilience</w:t>
            </w:r>
            <w:r w:rsidR="00B71241" w:rsidRPr="00B71241">
              <w:rPr>
                <w:rFonts w:ascii="Calibri" w:hAnsi="Calibri"/>
                <w:bCs/>
                <w:color w:val="000000"/>
              </w:rPr>
              <w:t>.</w:t>
            </w:r>
          </w:p>
          <w:p w:rsidR="00B71241" w:rsidRPr="0044426F" w:rsidRDefault="00B71241" w:rsidP="00B71241">
            <w:pPr>
              <w:rPr>
                <w:rFonts w:ascii="Calibri" w:hAnsi="Calibri"/>
                <w:bCs/>
                <w:color w:val="000000"/>
              </w:rPr>
            </w:pPr>
          </w:p>
        </w:tc>
        <w:tc>
          <w:tcPr>
            <w:tcW w:w="3205" w:type="dxa"/>
            <w:vMerge/>
          </w:tcPr>
          <w:p w:rsidR="00433018" w:rsidRPr="00200522" w:rsidRDefault="00433018" w:rsidP="001363FC">
            <w:pPr>
              <w:pStyle w:val="Default"/>
              <w:rPr>
                <w:rFonts w:asciiTheme="minorHAnsi" w:hAnsiTheme="minorHAnsi"/>
                <w:sz w:val="22"/>
                <w:szCs w:val="22"/>
              </w:rPr>
            </w:pPr>
          </w:p>
        </w:tc>
      </w:tr>
      <w:tr w:rsidR="00433018" w:rsidTr="00B71241">
        <w:trPr>
          <w:trHeight w:val="864"/>
        </w:trPr>
        <w:tc>
          <w:tcPr>
            <w:tcW w:w="1427" w:type="dxa"/>
          </w:tcPr>
          <w:p w:rsidR="00433018" w:rsidRDefault="00433018" w:rsidP="00A17F37">
            <w:pPr>
              <w:rPr>
                <w:rFonts w:ascii="Calibri" w:hAnsi="Calibri"/>
                <w:bCs/>
                <w:color w:val="000000"/>
              </w:rPr>
            </w:pPr>
            <w:r>
              <w:rPr>
                <w:rFonts w:ascii="Calibri" w:hAnsi="Calibri"/>
                <w:bCs/>
                <w:color w:val="000000"/>
              </w:rPr>
              <w:t>Quality of Education</w:t>
            </w:r>
          </w:p>
        </w:tc>
        <w:tc>
          <w:tcPr>
            <w:tcW w:w="4384" w:type="dxa"/>
          </w:tcPr>
          <w:p w:rsidR="00433018" w:rsidRPr="00433018" w:rsidRDefault="00433018" w:rsidP="008A3AD0">
            <w:pPr>
              <w:rPr>
                <w:rFonts w:ascii="Calibri" w:hAnsi="Calibri"/>
                <w:bCs/>
                <w:color w:val="000000"/>
              </w:rPr>
            </w:pPr>
            <w:r w:rsidRPr="00433018">
              <w:rPr>
                <w:rFonts w:ascii="Calibri" w:hAnsi="Calibri"/>
                <w:bCs/>
                <w:color w:val="000000"/>
              </w:rPr>
              <w:t>Visitors to the school and visits add value to pupils' learning.</w:t>
            </w:r>
          </w:p>
          <w:p w:rsidR="00433018" w:rsidRPr="00145C86" w:rsidRDefault="00433018" w:rsidP="00145C86">
            <w:pPr>
              <w:rPr>
                <w:rFonts w:ascii="Calibri" w:hAnsi="Calibri"/>
                <w:bCs/>
                <w:color w:val="000000"/>
              </w:rPr>
            </w:pPr>
          </w:p>
        </w:tc>
        <w:tc>
          <w:tcPr>
            <w:tcW w:w="3205" w:type="dxa"/>
            <w:vMerge/>
          </w:tcPr>
          <w:p w:rsidR="00433018" w:rsidRPr="00200522" w:rsidRDefault="00433018" w:rsidP="001363FC">
            <w:pPr>
              <w:pStyle w:val="Default"/>
              <w:rPr>
                <w:rFonts w:asciiTheme="minorHAnsi" w:hAnsiTheme="minorHAnsi"/>
                <w:sz w:val="22"/>
                <w:szCs w:val="22"/>
              </w:rPr>
            </w:pPr>
          </w:p>
        </w:tc>
      </w:tr>
      <w:tr w:rsidR="00433018" w:rsidTr="00433018">
        <w:trPr>
          <w:trHeight w:val="1234"/>
        </w:trPr>
        <w:tc>
          <w:tcPr>
            <w:tcW w:w="1427" w:type="dxa"/>
          </w:tcPr>
          <w:p w:rsidR="00433018" w:rsidRDefault="00433018" w:rsidP="00A17F37">
            <w:pPr>
              <w:rPr>
                <w:rFonts w:ascii="Calibri" w:hAnsi="Calibri"/>
                <w:bCs/>
                <w:color w:val="000000"/>
              </w:rPr>
            </w:pPr>
            <w:r>
              <w:rPr>
                <w:rFonts w:ascii="Calibri" w:hAnsi="Calibri"/>
                <w:bCs/>
                <w:color w:val="000000"/>
              </w:rPr>
              <w:t>Personal Development</w:t>
            </w:r>
          </w:p>
        </w:tc>
        <w:tc>
          <w:tcPr>
            <w:tcW w:w="4384" w:type="dxa"/>
          </w:tcPr>
          <w:p w:rsidR="00433018" w:rsidRPr="00B71241" w:rsidRDefault="00433018" w:rsidP="00145C86">
            <w:pPr>
              <w:rPr>
                <w:rFonts w:ascii="Calibri" w:hAnsi="Calibri"/>
                <w:color w:val="000000"/>
              </w:rPr>
            </w:pPr>
            <w:r>
              <w:rPr>
                <w:rFonts w:ascii="Calibri" w:hAnsi="Calibri"/>
                <w:color w:val="000000"/>
              </w:rPr>
              <w:t>Opportunities are planned for pupils to be actively involved in shaping</w:t>
            </w:r>
            <w:r w:rsidR="00B71241">
              <w:rPr>
                <w:rFonts w:ascii="Calibri" w:hAnsi="Calibri"/>
                <w:color w:val="000000"/>
              </w:rPr>
              <w:t xml:space="preserve"> the development of the school.</w:t>
            </w:r>
          </w:p>
        </w:tc>
        <w:tc>
          <w:tcPr>
            <w:tcW w:w="3205" w:type="dxa"/>
            <w:vMerge/>
          </w:tcPr>
          <w:p w:rsidR="00433018" w:rsidRPr="00200522" w:rsidRDefault="00433018" w:rsidP="001363FC">
            <w:pPr>
              <w:pStyle w:val="Default"/>
              <w:rPr>
                <w:rFonts w:asciiTheme="minorHAnsi" w:hAnsiTheme="minorHAnsi"/>
                <w:sz w:val="22"/>
                <w:szCs w:val="22"/>
              </w:rPr>
            </w:pPr>
          </w:p>
        </w:tc>
      </w:tr>
      <w:tr w:rsidR="00433018" w:rsidTr="00433018">
        <w:trPr>
          <w:trHeight w:val="1234"/>
        </w:trPr>
        <w:tc>
          <w:tcPr>
            <w:tcW w:w="1427" w:type="dxa"/>
            <w:vMerge w:val="restart"/>
          </w:tcPr>
          <w:p w:rsidR="00433018" w:rsidRDefault="00433018" w:rsidP="00A17F37">
            <w:pPr>
              <w:rPr>
                <w:rFonts w:ascii="Calibri" w:hAnsi="Calibri"/>
                <w:bCs/>
                <w:color w:val="000000"/>
              </w:rPr>
            </w:pPr>
            <w:r>
              <w:rPr>
                <w:rFonts w:ascii="Calibri" w:hAnsi="Calibri"/>
                <w:bCs/>
                <w:color w:val="000000"/>
              </w:rPr>
              <w:t>SIAMS</w:t>
            </w:r>
          </w:p>
        </w:tc>
        <w:tc>
          <w:tcPr>
            <w:tcW w:w="4384" w:type="dxa"/>
          </w:tcPr>
          <w:p w:rsidR="00433018" w:rsidRPr="00433018" w:rsidRDefault="00433018" w:rsidP="008A3AD0">
            <w:pPr>
              <w:rPr>
                <w:rFonts w:ascii="Calibri" w:hAnsi="Calibri"/>
                <w:bCs/>
                <w:color w:val="000000"/>
              </w:rPr>
            </w:pPr>
            <w:r w:rsidRPr="00433018">
              <w:rPr>
                <w:rFonts w:ascii="Calibri" w:hAnsi="Calibri"/>
                <w:bCs/>
                <w:color w:val="000000"/>
              </w:rPr>
              <w:t>To further develop the evaluative procedures that monitor the impact of the school as a church school</w:t>
            </w:r>
          </w:p>
          <w:p w:rsidR="00433018" w:rsidRPr="00433018" w:rsidRDefault="00433018" w:rsidP="008A3AD0">
            <w:pPr>
              <w:rPr>
                <w:rFonts w:ascii="Calibri" w:hAnsi="Calibri"/>
                <w:color w:val="000000"/>
              </w:rPr>
            </w:pPr>
          </w:p>
        </w:tc>
        <w:tc>
          <w:tcPr>
            <w:tcW w:w="3205" w:type="dxa"/>
            <w:vMerge/>
          </w:tcPr>
          <w:p w:rsidR="00433018" w:rsidRPr="00200522" w:rsidRDefault="00433018" w:rsidP="001363FC">
            <w:pPr>
              <w:pStyle w:val="Default"/>
              <w:rPr>
                <w:rFonts w:asciiTheme="minorHAnsi" w:hAnsiTheme="minorHAnsi"/>
                <w:sz w:val="22"/>
                <w:szCs w:val="22"/>
              </w:rPr>
            </w:pPr>
          </w:p>
        </w:tc>
      </w:tr>
      <w:tr w:rsidR="00433018" w:rsidTr="00433018">
        <w:trPr>
          <w:trHeight w:val="1234"/>
        </w:trPr>
        <w:tc>
          <w:tcPr>
            <w:tcW w:w="1427" w:type="dxa"/>
            <w:vMerge/>
          </w:tcPr>
          <w:p w:rsidR="00433018" w:rsidRDefault="00433018" w:rsidP="00A17F37">
            <w:pPr>
              <w:rPr>
                <w:rFonts w:ascii="Calibri" w:hAnsi="Calibri"/>
                <w:bCs/>
                <w:color w:val="000000"/>
              </w:rPr>
            </w:pPr>
          </w:p>
        </w:tc>
        <w:tc>
          <w:tcPr>
            <w:tcW w:w="4384" w:type="dxa"/>
          </w:tcPr>
          <w:p w:rsidR="00433018" w:rsidRPr="00433018" w:rsidRDefault="00433018" w:rsidP="008A3AD0">
            <w:pPr>
              <w:rPr>
                <w:rFonts w:ascii="Calibri" w:hAnsi="Calibri"/>
                <w:bCs/>
                <w:color w:val="000000"/>
              </w:rPr>
            </w:pPr>
            <w:r w:rsidRPr="00433018">
              <w:rPr>
                <w:rFonts w:ascii="Calibri" w:hAnsi="Calibri"/>
                <w:bCs/>
                <w:color w:val="000000"/>
              </w:rPr>
              <w:t xml:space="preserve">To continue with Link Governor pupil, parent and staff voice to help to identify how we can evaluate and improve the Christian experience of our pupils.    </w:t>
            </w:r>
          </w:p>
          <w:p w:rsidR="00433018" w:rsidRPr="00433018" w:rsidRDefault="00433018" w:rsidP="008A3AD0">
            <w:pPr>
              <w:rPr>
                <w:rFonts w:ascii="Calibri" w:hAnsi="Calibri"/>
                <w:color w:val="000000"/>
              </w:rPr>
            </w:pPr>
          </w:p>
        </w:tc>
        <w:tc>
          <w:tcPr>
            <w:tcW w:w="3205" w:type="dxa"/>
            <w:vMerge/>
          </w:tcPr>
          <w:p w:rsidR="00433018" w:rsidRPr="00200522" w:rsidRDefault="00433018" w:rsidP="001363FC">
            <w:pPr>
              <w:pStyle w:val="Default"/>
              <w:rPr>
                <w:rFonts w:asciiTheme="minorHAnsi" w:hAnsiTheme="minorHAnsi"/>
                <w:sz w:val="22"/>
                <w:szCs w:val="22"/>
              </w:rPr>
            </w:pPr>
          </w:p>
        </w:tc>
      </w:tr>
    </w:tbl>
    <w:p w:rsidR="000B23E5" w:rsidRDefault="000B23E5" w:rsidP="006C5CA8">
      <w:pPr>
        <w:rPr>
          <w:sz w:val="28"/>
          <w:szCs w:val="28"/>
        </w:rPr>
      </w:pPr>
    </w:p>
    <w:tbl>
      <w:tblPr>
        <w:tblStyle w:val="TableGrid"/>
        <w:tblpPr w:leftFromText="180" w:rightFromText="180" w:vertAnchor="page" w:horzAnchor="margin" w:tblpY="2551"/>
        <w:tblW w:w="0" w:type="auto"/>
        <w:tblLook w:val="04A0" w:firstRow="1" w:lastRow="0" w:firstColumn="1" w:lastColumn="0" w:noHBand="0" w:noVBand="1"/>
      </w:tblPr>
      <w:tblGrid>
        <w:gridCol w:w="1427"/>
        <w:gridCol w:w="4341"/>
        <w:gridCol w:w="3248"/>
      </w:tblGrid>
      <w:tr w:rsidR="00956DD4" w:rsidRPr="001876F3" w:rsidTr="00DA4A2F">
        <w:tc>
          <w:tcPr>
            <w:tcW w:w="9016" w:type="dxa"/>
            <w:gridSpan w:val="3"/>
            <w:shd w:val="clear" w:color="auto" w:fill="DEEAF6" w:themeFill="accent1" w:themeFillTint="33"/>
          </w:tcPr>
          <w:p w:rsidR="00956DD4" w:rsidRPr="001876F3" w:rsidRDefault="00956DD4" w:rsidP="00DA4A2F">
            <w:pPr>
              <w:jc w:val="center"/>
            </w:pPr>
            <w:r>
              <w:lastRenderedPageBreak/>
              <w:t>Priority 3</w:t>
            </w:r>
            <w:r w:rsidRPr="001876F3">
              <w:t xml:space="preserve"> </w:t>
            </w:r>
          </w:p>
        </w:tc>
      </w:tr>
      <w:tr w:rsidR="00956DD4" w:rsidRPr="001876F3" w:rsidTr="00DA4A2F">
        <w:tc>
          <w:tcPr>
            <w:tcW w:w="9016" w:type="dxa"/>
            <w:gridSpan w:val="3"/>
            <w:shd w:val="clear" w:color="auto" w:fill="FFFFFF" w:themeFill="background1"/>
          </w:tcPr>
          <w:p w:rsidR="00956DD4" w:rsidRDefault="00956DD4" w:rsidP="00DA4A2F">
            <w:r>
              <w:t>Improve the outdoor learning environment to improve the provision for all pupils, increase the number on roll and effectively market the School.</w:t>
            </w:r>
          </w:p>
          <w:p w:rsidR="00956DD4" w:rsidRPr="001876F3" w:rsidRDefault="00956DD4" w:rsidP="00DA4A2F"/>
        </w:tc>
      </w:tr>
      <w:tr w:rsidR="0044426F" w:rsidRPr="001876F3" w:rsidTr="00DA4A2F">
        <w:tc>
          <w:tcPr>
            <w:tcW w:w="1427" w:type="dxa"/>
            <w:shd w:val="clear" w:color="auto" w:fill="DEEAF6" w:themeFill="accent1" w:themeFillTint="33"/>
          </w:tcPr>
          <w:p w:rsidR="0044426F" w:rsidRPr="001876F3" w:rsidRDefault="00433018" w:rsidP="00DA4A2F">
            <w:r>
              <w:t>Focus Area</w:t>
            </w:r>
          </w:p>
        </w:tc>
        <w:tc>
          <w:tcPr>
            <w:tcW w:w="4341" w:type="dxa"/>
            <w:shd w:val="clear" w:color="auto" w:fill="DEEAF6" w:themeFill="accent1" w:themeFillTint="33"/>
          </w:tcPr>
          <w:p w:rsidR="0044426F" w:rsidRPr="001876F3" w:rsidRDefault="0044426F" w:rsidP="00DA4A2F">
            <w:r w:rsidRPr="001876F3">
              <w:t>Linked SDP Objectives</w:t>
            </w:r>
          </w:p>
        </w:tc>
        <w:tc>
          <w:tcPr>
            <w:tcW w:w="3248" w:type="dxa"/>
            <w:shd w:val="clear" w:color="auto" w:fill="DEEAF6" w:themeFill="accent1" w:themeFillTint="33"/>
          </w:tcPr>
          <w:p w:rsidR="0044426F" w:rsidRPr="001876F3" w:rsidRDefault="0044426F" w:rsidP="00DA4A2F">
            <w:r w:rsidRPr="001876F3">
              <w:t>Teacher Standards</w:t>
            </w:r>
          </w:p>
        </w:tc>
      </w:tr>
      <w:tr w:rsidR="00433018" w:rsidTr="00DA4A2F">
        <w:trPr>
          <w:trHeight w:val="504"/>
        </w:trPr>
        <w:tc>
          <w:tcPr>
            <w:tcW w:w="1427" w:type="dxa"/>
            <w:vMerge w:val="restart"/>
          </w:tcPr>
          <w:p w:rsidR="00433018" w:rsidRPr="00200522" w:rsidRDefault="00433018" w:rsidP="00DA4A2F">
            <w:pPr>
              <w:rPr>
                <w:rFonts w:ascii="Calibri" w:hAnsi="Calibri"/>
                <w:bCs/>
              </w:rPr>
            </w:pPr>
            <w:r>
              <w:rPr>
                <w:rFonts w:ascii="Calibri" w:hAnsi="Calibri"/>
                <w:bCs/>
              </w:rPr>
              <w:t>Leadership and Management</w:t>
            </w:r>
          </w:p>
        </w:tc>
        <w:tc>
          <w:tcPr>
            <w:tcW w:w="4341" w:type="dxa"/>
          </w:tcPr>
          <w:p w:rsidR="00433018" w:rsidRPr="001D603F" w:rsidRDefault="00433018" w:rsidP="00DA4A2F">
            <w:pPr>
              <w:rPr>
                <w:rFonts w:ascii="Calibri" w:hAnsi="Calibri"/>
                <w:bCs/>
                <w:color w:val="000000"/>
              </w:rPr>
            </w:pPr>
            <w:r w:rsidRPr="001D603F">
              <w:rPr>
                <w:rFonts w:ascii="Calibri" w:hAnsi="Calibri"/>
                <w:bCs/>
                <w:color w:val="000000"/>
              </w:rPr>
              <w:t>Raise</w:t>
            </w:r>
            <w:r>
              <w:rPr>
                <w:rFonts w:ascii="Calibri" w:hAnsi="Calibri"/>
                <w:bCs/>
                <w:color w:val="000000"/>
              </w:rPr>
              <w:t xml:space="preserve"> money for school improvement</w:t>
            </w:r>
          </w:p>
        </w:tc>
        <w:tc>
          <w:tcPr>
            <w:tcW w:w="3248" w:type="dxa"/>
            <w:vMerge w:val="restart"/>
          </w:tcPr>
          <w:p w:rsidR="00433018" w:rsidRPr="00200522" w:rsidRDefault="00433018" w:rsidP="00DA4A2F">
            <w:pPr>
              <w:pStyle w:val="Default"/>
              <w:rPr>
                <w:rFonts w:asciiTheme="minorHAnsi" w:hAnsiTheme="minorHAnsi"/>
                <w:bCs/>
                <w:sz w:val="22"/>
                <w:szCs w:val="22"/>
              </w:rPr>
            </w:pPr>
            <w:r w:rsidRPr="00200522">
              <w:rPr>
                <w:rFonts w:asciiTheme="minorHAnsi" w:hAnsiTheme="minorHAnsi"/>
                <w:sz w:val="22"/>
                <w:szCs w:val="22"/>
              </w:rPr>
              <w:t>1</w:t>
            </w:r>
            <w:r w:rsidRPr="00200522">
              <w:rPr>
                <w:rFonts w:asciiTheme="minorHAnsi" w:hAnsiTheme="minorHAnsi"/>
                <w:bCs/>
                <w:sz w:val="22"/>
                <w:szCs w:val="22"/>
              </w:rPr>
              <w:t xml:space="preserve"> Set high expectations which inspire, motivate and challenge pupils </w:t>
            </w:r>
          </w:p>
          <w:p w:rsidR="00433018" w:rsidRPr="00200522" w:rsidRDefault="00433018" w:rsidP="00DA4A2F"/>
          <w:p w:rsidR="00433018" w:rsidRPr="00956DD4" w:rsidRDefault="00433018" w:rsidP="00DA4A2F">
            <w:pPr>
              <w:pStyle w:val="Default"/>
              <w:rPr>
                <w:rFonts w:asciiTheme="minorHAnsi" w:hAnsiTheme="minorHAnsi"/>
                <w:bCs/>
                <w:sz w:val="22"/>
                <w:szCs w:val="22"/>
              </w:rPr>
            </w:pPr>
            <w:r w:rsidRPr="00200522">
              <w:rPr>
                <w:rFonts w:asciiTheme="minorHAnsi" w:hAnsiTheme="minorHAnsi"/>
                <w:bCs/>
                <w:sz w:val="22"/>
                <w:szCs w:val="22"/>
              </w:rPr>
              <w:t xml:space="preserve">2. Promote good progress and outcomes by pupils </w:t>
            </w:r>
            <w:r w:rsidRPr="00200522">
              <w:rPr>
                <w:rFonts w:asciiTheme="minorHAnsi" w:hAnsiTheme="minorHAnsi"/>
                <w:bCs/>
                <w:color w:val="auto"/>
                <w:sz w:val="22"/>
                <w:szCs w:val="22"/>
              </w:rPr>
              <w:t xml:space="preserve"> </w:t>
            </w:r>
          </w:p>
          <w:p w:rsidR="00433018" w:rsidRPr="00200522" w:rsidRDefault="00433018" w:rsidP="00DA4A2F">
            <w:pPr>
              <w:pStyle w:val="Default"/>
              <w:rPr>
                <w:rFonts w:asciiTheme="minorHAnsi" w:hAnsiTheme="minorHAnsi"/>
                <w:sz w:val="22"/>
                <w:szCs w:val="22"/>
              </w:rPr>
            </w:pPr>
          </w:p>
          <w:p w:rsidR="00433018" w:rsidRPr="00200522" w:rsidRDefault="00433018" w:rsidP="00DA4A2F">
            <w:pPr>
              <w:pStyle w:val="Default"/>
              <w:rPr>
                <w:rFonts w:asciiTheme="minorHAnsi" w:hAnsiTheme="minorHAnsi"/>
                <w:bCs/>
                <w:color w:val="auto"/>
                <w:sz w:val="22"/>
                <w:szCs w:val="22"/>
              </w:rPr>
            </w:pPr>
            <w:r w:rsidRPr="00200522">
              <w:rPr>
                <w:rFonts w:asciiTheme="minorHAnsi" w:hAnsiTheme="minorHAnsi"/>
                <w:bCs/>
                <w:color w:val="auto"/>
                <w:sz w:val="22"/>
                <w:szCs w:val="22"/>
              </w:rPr>
              <w:t xml:space="preserve">5. Adapt teaching to respond to the strengths and needs of all pupils </w:t>
            </w:r>
          </w:p>
          <w:p w:rsidR="00433018" w:rsidRPr="00200522" w:rsidRDefault="00433018" w:rsidP="00DA4A2F">
            <w:pPr>
              <w:pStyle w:val="Default"/>
              <w:rPr>
                <w:rFonts w:asciiTheme="minorHAnsi" w:hAnsiTheme="minorHAnsi"/>
                <w:color w:val="auto"/>
                <w:sz w:val="22"/>
                <w:szCs w:val="22"/>
              </w:rPr>
            </w:pPr>
          </w:p>
          <w:p w:rsidR="00433018" w:rsidRPr="00200522" w:rsidRDefault="00433018" w:rsidP="00DA4A2F">
            <w:pPr>
              <w:pStyle w:val="Default"/>
              <w:rPr>
                <w:rFonts w:asciiTheme="minorHAnsi" w:hAnsiTheme="minorHAnsi"/>
                <w:sz w:val="22"/>
                <w:szCs w:val="22"/>
              </w:rPr>
            </w:pPr>
            <w:r>
              <w:rPr>
                <w:rFonts w:asciiTheme="minorHAnsi" w:hAnsiTheme="minorHAnsi"/>
                <w:bCs/>
                <w:color w:val="auto"/>
                <w:sz w:val="22"/>
                <w:szCs w:val="22"/>
              </w:rPr>
              <w:t xml:space="preserve">7. Manage behaviour effectively to ensure a good and safe learning environment </w:t>
            </w:r>
          </w:p>
          <w:p w:rsidR="00433018" w:rsidRPr="00200522" w:rsidRDefault="00433018" w:rsidP="00DA4A2F">
            <w:pPr>
              <w:pStyle w:val="Default"/>
              <w:rPr>
                <w:rFonts w:asciiTheme="minorHAnsi" w:hAnsiTheme="minorHAnsi"/>
                <w:color w:val="auto"/>
                <w:sz w:val="22"/>
                <w:szCs w:val="22"/>
              </w:rPr>
            </w:pPr>
          </w:p>
          <w:p w:rsidR="00433018" w:rsidRPr="00956DD4" w:rsidRDefault="00433018" w:rsidP="00DA4A2F">
            <w:pPr>
              <w:pStyle w:val="Default"/>
              <w:spacing w:after="331"/>
              <w:rPr>
                <w:rFonts w:asciiTheme="minorHAnsi" w:hAnsiTheme="minorHAnsi"/>
                <w:color w:val="auto"/>
                <w:sz w:val="22"/>
                <w:szCs w:val="22"/>
              </w:rPr>
            </w:pPr>
            <w:r w:rsidRPr="00200522">
              <w:rPr>
                <w:rFonts w:asciiTheme="minorHAnsi" w:hAnsiTheme="minorHAnsi"/>
                <w:bCs/>
                <w:color w:val="auto"/>
                <w:sz w:val="22"/>
                <w:szCs w:val="22"/>
              </w:rPr>
              <w:t>8. Fulfil wider professional responsibilities</w:t>
            </w:r>
          </w:p>
        </w:tc>
      </w:tr>
      <w:tr w:rsidR="00433018" w:rsidTr="00DA4A2F">
        <w:trPr>
          <w:trHeight w:val="682"/>
        </w:trPr>
        <w:tc>
          <w:tcPr>
            <w:tcW w:w="1427" w:type="dxa"/>
            <w:vMerge/>
          </w:tcPr>
          <w:p w:rsidR="00433018" w:rsidRPr="00200522" w:rsidRDefault="00433018" w:rsidP="00DA4A2F">
            <w:pPr>
              <w:rPr>
                <w:rFonts w:ascii="Calibri" w:hAnsi="Calibri"/>
                <w:bCs/>
              </w:rPr>
            </w:pPr>
          </w:p>
        </w:tc>
        <w:tc>
          <w:tcPr>
            <w:tcW w:w="4341" w:type="dxa"/>
          </w:tcPr>
          <w:p w:rsidR="00433018" w:rsidRPr="001D603F" w:rsidRDefault="00433018" w:rsidP="00DA4A2F">
            <w:pPr>
              <w:rPr>
                <w:rFonts w:ascii="Calibri" w:hAnsi="Calibri"/>
                <w:bCs/>
                <w:color w:val="000000"/>
              </w:rPr>
            </w:pPr>
            <w:r w:rsidRPr="001D603F">
              <w:rPr>
                <w:rFonts w:ascii="Calibri" w:hAnsi="Calibri"/>
                <w:bCs/>
                <w:color w:val="000000"/>
              </w:rPr>
              <w:t xml:space="preserve">Research and invest in marketing strategies to raise NOR and raise the profile of the school  </w:t>
            </w:r>
          </w:p>
        </w:tc>
        <w:tc>
          <w:tcPr>
            <w:tcW w:w="3248" w:type="dxa"/>
            <w:vMerge/>
          </w:tcPr>
          <w:p w:rsidR="00433018" w:rsidRPr="00200522" w:rsidRDefault="00433018" w:rsidP="00DA4A2F">
            <w:pPr>
              <w:pStyle w:val="Default"/>
              <w:rPr>
                <w:rFonts w:asciiTheme="minorHAnsi" w:hAnsiTheme="minorHAnsi"/>
                <w:sz w:val="22"/>
                <w:szCs w:val="22"/>
              </w:rPr>
            </w:pPr>
          </w:p>
        </w:tc>
      </w:tr>
      <w:tr w:rsidR="00433018" w:rsidTr="00DA4A2F">
        <w:trPr>
          <w:trHeight w:val="437"/>
        </w:trPr>
        <w:tc>
          <w:tcPr>
            <w:tcW w:w="1427" w:type="dxa"/>
            <w:vMerge/>
          </w:tcPr>
          <w:p w:rsidR="00433018" w:rsidRPr="00200522" w:rsidRDefault="00433018" w:rsidP="00DA4A2F">
            <w:pPr>
              <w:rPr>
                <w:rFonts w:ascii="Calibri" w:hAnsi="Calibri"/>
                <w:bCs/>
              </w:rPr>
            </w:pPr>
          </w:p>
        </w:tc>
        <w:tc>
          <w:tcPr>
            <w:tcW w:w="4341" w:type="dxa"/>
          </w:tcPr>
          <w:p w:rsidR="00433018" w:rsidRPr="001D603F" w:rsidRDefault="00433018" w:rsidP="00DA4A2F">
            <w:pPr>
              <w:rPr>
                <w:rFonts w:ascii="Calibri" w:hAnsi="Calibri"/>
                <w:bCs/>
                <w:color w:val="000000"/>
              </w:rPr>
            </w:pPr>
            <w:r w:rsidRPr="001D603F">
              <w:rPr>
                <w:rFonts w:ascii="Calibri" w:hAnsi="Calibri"/>
                <w:bCs/>
                <w:color w:val="000000"/>
              </w:rPr>
              <w:t>The school meets the needs of all learners.</w:t>
            </w:r>
          </w:p>
        </w:tc>
        <w:tc>
          <w:tcPr>
            <w:tcW w:w="3248" w:type="dxa"/>
            <w:vMerge/>
          </w:tcPr>
          <w:p w:rsidR="00433018" w:rsidRPr="00200522" w:rsidRDefault="00433018" w:rsidP="00DA4A2F">
            <w:pPr>
              <w:pStyle w:val="Default"/>
              <w:rPr>
                <w:rFonts w:asciiTheme="minorHAnsi" w:hAnsiTheme="minorHAnsi"/>
                <w:sz w:val="22"/>
                <w:szCs w:val="22"/>
              </w:rPr>
            </w:pPr>
          </w:p>
        </w:tc>
      </w:tr>
      <w:tr w:rsidR="00433018" w:rsidTr="00DA4A2F">
        <w:trPr>
          <w:trHeight w:val="1168"/>
        </w:trPr>
        <w:tc>
          <w:tcPr>
            <w:tcW w:w="1427" w:type="dxa"/>
            <w:vMerge/>
          </w:tcPr>
          <w:p w:rsidR="00433018" w:rsidRPr="00200522" w:rsidRDefault="00433018" w:rsidP="00DA4A2F">
            <w:pPr>
              <w:rPr>
                <w:rFonts w:ascii="Calibri" w:hAnsi="Calibri"/>
                <w:bCs/>
              </w:rPr>
            </w:pPr>
          </w:p>
        </w:tc>
        <w:tc>
          <w:tcPr>
            <w:tcW w:w="4341" w:type="dxa"/>
            <w:tcBorders>
              <w:top w:val="single" w:sz="4" w:space="0" w:color="auto"/>
              <w:left w:val="single" w:sz="4" w:space="0" w:color="auto"/>
              <w:bottom w:val="single" w:sz="4" w:space="0" w:color="auto"/>
              <w:right w:val="single" w:sz="4" w:space="0" w:color="auto"/>
            </w:tcBorders>
            <w:shd w:val="clear" w:color="auto" w:fill="auto"/>
          </w:tcPr>
          <w:p w:rsidR="00677FB5" w:rsidRPr="001D603F" w:rsidRDefault="00433018" w:rsidP="00DA4A2F">
            <w:pPr>
              <w:rPr>
                <w:rFonts w:ascii="Calibri" w:hAnsi="Calibri"/>
                <w:color w:val="000000"/>
              </w:rPr>
            </w:pPr>
            <w:r w:rsidRPr="001D603F">
              <w:rPr>
                <w:rFonts w:ascii="Calibri" w:hAnsi="Calibri"/>
                <w:color w:val="000000"/>
              </w:rPr>
              <w:t>Pupils are happy to come to school and value their education</w:t>
            </w:r>
            <w:r w:rsidRPr="001D603F">
              <w:rPr>
                <w:rFonts w:ascii="Calibri" w:hAnsi="Calibri"/>
                <w:color w:val="000000"/>
              </w:rPr>
              <w:br/>
              <w:t>Pupils are recognised for their positive contributions to learning</w:t>
            </w:r>
            <w:r w:rsidR="00677FB5">
              <w:rPr>
                <w:rFonts w:ascii="Calibri" w:hAnsi="Calibri"/>
                <w:color w:val="000000"/>
              </w:rPr>
              <w:t>,</w:t>
            </w:r>
            <w:r w:rsidRPr="001D603F">
              <w:rPr>
                <w:rFonts w:ascii="Calibri" w:hAnsi="Calibri"/>
                <w:color w:val="000000"/>
              </w:rPr>
              <w:t xml:space="preserve"> </w:t>
            </w:r>
            <w:r w:rsidR="00677FB5">
              <w:rPr>
                <w:rFonts w:ascii="Calibri" w:hAnsi="Calibri"/>
                <w:color w:val="000000"/>
              </w:rPr>
              <w:t xml:space="preserve">both in school and externally </w:t>
            </w:r>
            <w:r w:rsidRPr="001D603F">
              <w:rPr>
                <w:rFonts w:ascii="Calibri" w:hAnsi="Calibri"/>
                <w:color w:val="000000"/>
              </w:rPr>
              <w:t xml:space="preserve">and </w:t>
            </w:r>
            <w:r w:rsidR="00677FB5">
              <w:rPr>
                <w:rFonts w:ascii="Calibri" w:hAnsi="Calibri"/>
                <w:color w:val="000000"/>
              </w:rPr>
              <w:t xml:space="preserve">for </w:t>
            </w:r>
            <w:r w:rsidRPr="001D603F">
              <w:rPr>
                <w:rFonts w:ascii="Calibri" w:hAnsi="Calibri"/>
                <w:color w:val="000000"/>
              </w:rPr>
              <w:t>their resilience</w:t>
            </w:r>
          </w:p>
        </w:tc>
        <w:tc>
          <w:tcPr>
            <w:tcW w:w="3248" w:type="dxa"/>
            <w:vMerge/>
          </w:tcPr>
          <w:p w:rsidR="00433018" w:rsidRPr="00200522" w:rsidRDefault="00433018" w:rsidP="00DA4A2F">
            <w:pPr>
              <w:pStyle w:val="Default"/>
              <w:rPr>
                <w:rFonts w:asciiTheme="minorHAnsi" w:hAnsiTheme="minorHAnsi"/>
                <w:sz w:val="22"/>
                <w:szCs w:val="22"/>
              </w:rPr>
            </w:pPr>
          </w:p>
        </w:tc>
      </w:tr>
      <w:tr w:rsidR="00433018" w:rsidTr="00DA4A2F">
        <w:trPr>
          <w:trHeight w:val="840"/>
        </w:trPr>
        <w:tc>
          <w:tcPr>
            <w:tcW w:w="1427" w:type="dxa"/>
            <w:vMerge/>
            <w:tcBorders>
              <w:bottom w:val="single" w:sz="4" w:space="0" w:color="auto"/>
            </w:tcBorders>
          </w:tcPr>
          <w:p w:rsidR="00433018" w:rsidRPr="00200522" w:rsidRDefault="00433018" w:rsidP="00DA4A2F">
            <w:pPr>
              <w:rPr>
                <w:rFonts w:ascii="Calibri" w:hAnsi="Calibri"/>
                <w:bCs/>
              </w:rPr>
            </w:pPr>
          </w:p>
        </w:tc>
        <w:tc>
          <w:tcPr>
            <w:tcW w:w="4341" w:type="dxa"/>
            <w:tcBorders>
              <w:top w:val="single" w:sz="4" w:space="0" w:color="auto"/>
              <w:left w:val="single" w:sz="4" w:space="0" w:color="auto"/>
              <w:bottom w:val="single" w:sz="4" w:space="0" w:color="auto"/>
              <w:right w:val="single" w:sz="4" w:space="0" w:color="auto"/>
            </w:tcBorders>
            <w:shd w:val="clear" w:color="auto" w:fill="auto"/>
          </w:tcPr>
          <w:p w:rsidR="00433018" w:rsidRPr="001D603F" w:rsidRDefault="00433018" w:rsidP="00DA4A2F">
            <w:pPr>
              <w:rPr>
                <w:rFonts w:ascii="Calibri" w:hAnsi="Calibri"/>
                <w:color w:val="000000"/>
              </w:rPr>
            </w:pPr>
            <w:r w:rsidRPr="001D603F">
              <w:rPr>
                <w:rFonts w:ascii="Calibri" w:hAnsi="Calibri"/>
                <w:color w:val="000000"/>
              </w:rPr>
              <w:t xml:space="preserve">Opportunities are planned for pupils to be actively involved in shaping the development of the school  </w:t>
            </w:r>
          </w:p>
        </w:tc>
        <w:tc>
          <w:tcPr>
            <w:tcW w:w="3248" w:type="dxa"/>
            <w:vMerge/>
            <w:tcBorders>
              <w:bottom w:val="single" w:sz="4" w:space="0" w:color="auto"/>
            </w:tcBorders>
          </w:tcPr>
          <w:p w:rsidR="00433018" w:rsidRPr="00200522" w:rsidRDefault="00433018" w:rsidP="00DA4A2F">
            <w:pPr>
              <w:pStyle w:val="Default"/>
              <w:rPr>
                <w:rFonts w:asciiTheme="minorHAnsi" w:hAnsiTheme="minorHAnsi"/>
                <w:sz w:val="22"/>
                <w:szCs w:val="22"/>
              </w:rPr>
            </w:pPr>
          </w:p>
        </w:tc>
      </w:tr>
      <w:tr w:rsidR="00433018" w:rsidTr="00DA4A2F">
        <w:trPr>
          <w:trHeight w:val="862"/>
        </w:trPr>
        <w:tc>
          <w:tcPr>
            <w:tcW w:w="1427" w:type="dxa"/>
          </w:tcPr>
          <w:p w:rsidR="00433018" w:rsidRPr="00200522" w:rsidRDefault="00433018" w:rsidP="00DA4A2F">
            <w:pPr>
              <w:rPr>
                <w:rFonts w:ascii="Calibri" w:hAnsi="Calibri"/>
                <w:bCs/>
              </w:rPr>
            </w:pPr>
            <w:r>
              <w:rPr>
                <w:rFonts w:ascii="Calibri" w:hAnsi="Calibri"/>
                <w:bCs/>
              </w:rPr>
              <w:t>Personal Development</w:t>
            </w:r>
          </w:p>
        </w:tc>
        <w:tc>
          <w:tcPr>
            <w:tcW w:w="4341" w:type="dxa"/>
            <w:tcBorders>
              <w:top w:val="single" w:sz="4" w:space="0" w:color="auto"/>
              <w:left w:val="single" w:sz="4" w:space="0" w:color="auto"/>
              <w:bottom w:val="single" w:sz="4" w:space="0" w:color="auto"/>
              <w:right w:val="single" w:sz="4" w:space="0" w:color="auto"/>
            </w:tcBorders>
            <w:shd w:val="clear" w:color="auto" w:fill="auto"/>
          </w:tcPr>
          <w:p w:rsidR="00433018" w:rsidRDefault="00433018" w:rsidP="00DA4A2F">
            <w:pPr>
              <w:rPr>
                <w:rFonts w:ascii="Calibri" w:hAnsi="Calibri"/>
                <w:color w:val="000000"/>
              </w:rPr>
            </w:pPr>
            <w:r>
              <w:rPr>
                <w:rFonts w:ascii="Calibri" w:hAnsi="Calibri"/>
                <w:color w:val="000000"/>
              </w:rPr>
              <w:t xml:space="preserve">Opportunities are planned for pupils to be actively involved in shaping the development of the school  </w:t>
            </w:r>
          </w:p>
          <w:p w:rsidR="00433018" w:rsidRPr="001D603F" w:rsidRDefault="00433018" w:rsidP="00DA4A2F">
            <w:pPr>
              <w:rPr>
                <w:rFonts w:ascii="Calibri" w:hAnsi="Calibri"/>
                <w:color w:val="000000"/>
              </w:rPr>
            </w:pPr>
          </w:p>
        </w:tc>
        <w:tc>
          <w:tcPr>
            <w:tcW w:w="3248" w:type="dxa"/>
            <w:vMerge/>
          </w:tcPr>
          <w:p w:rsidR="00433018" w:rsidRPr="00200522" w:rsidRDefault="00433018" w:rsidP="00DA4A2F">
            <w:pPr>
              <w:pStyle w:val="Default"/>
              <w:rPr>
                <w:rFonts w:asciiTheme="minorHAnsi" w:hAnsiTheme="minorHAnsi"/>
                <w:sz w:val="22"/>
                <w:szCs w:val="22"/>
              </w:rPr>
            </w:pPr>
          </w:p>
        </w:tc>
      </w:tr>
      <w:tr w:rsidR="00433018" w:rsidTr="00DA4A2F">
        <w:trPr>
          <w:trHeight w:val="862"/>
        </w:trPr>
        <w:tc>
          <w:tcPr>
            <w:tcW w:w="1427" w:type="dxa"/>
          </w:tcPr>
          <w:p w:rsidR="00433018" w:rsidRPr="00200522" w:rsidRDefault="00433018" w:rsidP="00DA4A2F">
            <w:pPr>
              <w:rPr>
                <w:rFonts w:ascii="Calibri" w:hAnsi="Calibri"/>
                <w:bCs/>
              </w:rPr>
            </w:pPr>
            <w:r>
              <w:rPr>
                <w:rFonts w:ascii="Calibri" w:hAnsi="Calibri"/>
                <w:bCs/>
              </w:rPr>
              <w:t>SIAMS</w:t>
            </w:r>
          </w:p>
        </w:tc>
        <w:tc>
          <w:tcPr>
            <w:tcW w:w="4341" w:type="dxa"/>
            <w:tcBorders>
              <w:top w:val="single" w:sz="4" w:space="0" w:color="auto"/>
              <w:left w:val="single" w:sz="4" w:space="0" w:color="auto"/>
              <w:bottom w:val="single" w:sz="4" w:space="0" w:color="000000"/>
              <w:right w:val="single" w:sz="4" w:space="0" w:color="auto"/>
            </w:tcBorders>
            <w:shd w:val="clear" w:color="auto" w:fill="auto"/>
          </w:tcPr>
          <w:p w:rsidR="00433018" w:rsidRPr="00433018" w:rsidRDefault="00433018" w:rsidP="00DA4A2F">
            <w:pPr>
              <w:rPr>
                <w:rFonts w:ascii="Calibri" w:hAnsi="Calibri"/>
                <w:bCs/>
                <w:color w:val="000000"/>
              </w:rPr>
            </w:pPr>
            <w:r w:rsidRPr="00433018">
              <w:rPr>
                <w:rFonts w:ascii="Calibri" w:hAnsi="Calibri"/>
                <w:bCs/>
                <w:color w:val="000000"/>
              </w:rPr>
              <w:t>Develop an area in or around school for quiet reflection and meditation.</w:t>
            </w:r>
          </w:p>
          <w:p w:rsidR="00433018" w:rsidRPr="001D603F" w:rsidRDefault="00433018" w:rsidP="00DA4A2F">
            <w:pPr>
              <w:rPr>
                <w:rFonts w:ascii="Calibri" w:hAnsi="Calibri"/>
                <w:color w:val="000000"/>
              </w:rPr>
            </w:pPr>
          </w:p>
        </w:tc>
        <w:tc>
          <w:tcPr>
            <w:tcW w:w="3248" w:type="dxa"/>
            <w:vMerge/>
          </w:tcPr>
          <w:p w:rsidR="00433018" w:rsidRPr="00200522" w:rsidRDefault="00433018" w:rsidP="00DA4A2F">
            <w:pPr>
              <w:pStyle w:val="Default"/>
              <w:rPr>
                <w:rFonts w:asciiTheme="minorHAnsi" w:hAnsiTheme="minorHAnsi"/>
                <w:sz w:val="22"/>
                <w:szCs w:val="22"/>
              </w:rPr>
            </w:pPr>
          </w:p>
        </w:tc>
      </w:tr>
    </w:tbl>
    <w:p w:rsidR="00DA4A2F" w:rsidRDefault="00DA4A2F" w:rsidP="006C5CA8">
      <w:pPr>
        <w:rPr>
          <w:sz w:val="28"/>
          <w:szCs w:val="28"/>
        </w:rPr>
      </w:pPr>
    </w:p>
    <w:p w:rsidR="00DA4A2F" w:rsidRDefault="00DA4A2F" w:rsidP="006C5CA8">
      <w:pPr>
        <w:rPr>
          <w:sz w:val="28"/>
          <w:szCs w:val="28"/>
        </w:rPr>
      </w:pPr>
    </w:p>
    <w:tbl>
      <w:tblPr>
        <w:tblStyle w:val="TableGrid"/>
        <w:tblW w:w="0" w:type="auto"/>
        <w:tblLook w:val="04A0" w:firstRow="1" w:lastRow="0" w:firstColumn="1" w:lastColumn="0" w:noHBand="0" w:noVBand="1"/>
      </w:tblPr>
      <w:tblGrid>
        <w:gridCol w:w="1413"/>
        <w:gridCol w:w="4454"/>
        <w:gridCol w:w="3149"/>
      </w:tblGrid>
      <w:tr w:rsidR="0070685C" w:rsidRPr="001876F3" w:rsidTr="00EC6C3A">
        <w:tc>
          <w:tcPr>
            <w:tcW w:w="9016" w:type="dxa"/>
            <w:gridSpan w:val="3"/>
            <w:shd w:val="clear" w:color="auto" w:fill="DEEAF6" w:themeFill="accent1" w:themeFillTint="33"/>
          </w:tcPr>
          <w:p w:rsidR="0070685C" w:rsidRPr="001876F3" w:rsidRDefault="0070685C" w:rsidP="0044426F">
            <w:pPr>
              <w:jc w:val="center"/>
            </w:pPr>
            <w:r>
              <w:t xml:space="preserve">Priority 4 </w:t>
            </w:r>
            <w:r w:rsidRPr="001876F3">
              <w:t xml:space="preserve"> </w:t>
            </w:r>
          </w:p>
        </w:tc>
      </w:tr>
      <w:tr w:rsidR="0070685C" w:rsidRPr="001876F3" w:rsidTr="00A16BAC">
        <w:tc>
          <w:tcPr>
            <w:tcW w:w="9016" w:type="dxa"/>
            <w:gridSpan w:val="3"/>
            <w:shd w:val="clear" w:color="auto" w:fill="FFFFFF" w:themeFill="background1"/>
          </w:tcPr>
          <w:p w:rsidR="0070685C" w:rsidRDefault="0070685C" w:rsidP="001363FC">
            <w:r>
              <w:t>Ensure the School’s vision and values are embedded and reflected in all aspects of school life.</w:t>
            </w:r>
          </w:p>
          <w:p w:rsidR="0070685C" w:rsidRPr="001876F3" w:rsidRDefault="0070685C" w:rsidP="001363FC"/>
        </w:tc>
      </w:tr>
      <w:tr w:rsidR="0044426F" w:rsidRPr="001876F3" w:rsidTr="00956DD4">
        <w:tc>
          <w:tcPr>
            <w:tcW w:w="1413" w:type="dxa"/>
            <w:shd w:val="clear" w:color="auto" w:fill="DEEAF6" w:themeFill="accent1" w:themeFillTint="33"/>
          </w:tcPr>
          <w:p w:rsidR="0044426F" w:rsidRPr="001876F3" w:rsidRDefault="002846D1" w:rsidP="001363FC">
            <w:r>
              <w:t>Focus Area</w:t>
            </w:r>
          </w:p>
        </w:tc>
        <w:tc>
          <w:tcPr>
            <w:tcW w:w="4454" w:type="dxa"/>
            <w:shd w:val="clear" w:color="auto" w:fill="DEEAF6" w:themeFill="accent1" w:themeFillTint="33"/>
          </w:tcPr>
          <w:p w:rsidR="0044426F" w:rsidRPr="001876F3" w:rsidRDefault="000A22DA" w:rsidP="001363FC">
            <w:r>
              <w:t>Values</w:t>
            </w:r>
          </w:p>
        </w:tc>
        <w:tc>
          <w:tcPr>
            <w:tcW w:w="3149" w:type="dxa"/>
            <w:shd w:val="clear" w:color="auto" w:fill="DEEAF6" w:themeFill="accent1" w:themeFillTint="33"/>
          </w:tcPr>
          <w:p w:rsidR="0044426F" w:rsidRPr="001876F3" w:rsidRDefault="0044426F" w:rsidP="001363FC">
            <w:r w:rsidRPr="001876F3">
              <w:t>Teacher Standards</w:t>
            </w:r>
          </w:p>
        </w:tc>
      </w:tr>
      <w:tr w:rsidR="00DA4A2F" w:rsidRPr="001876F3" w:rsidTr="00DA4A2F">
        <w:tc>
          <w:tcPr>
            <w:tcW w:w="1413" w:type="dxa"/>
            <w:shd w:val="clear" w:color="auto" w:fill="FFFFFF" w:themeFill="background1"/>
          </w:tcPr>
          <w:p w:rsidR="00DA4A2F" w:rsidRDefault="00DA4A2F" w:rsidP="001363FC">
            <w:r>
              <w:t>All</w:t>
            </w:r>
          </w:p>
        </w:tc>
        <w:tc>
          <w:tcPr>
            <w:tcW w:w="4454" w:type="dxa"/>
            <w:shd w:val="clear" w:color="auto" w:fill="FFFFFF" w:themeFill="background1"/>
          </w:tcPr>
          <w:p w:rsidR="00DA4A2F" w:rsidRDefault="009473C2" w:rsidP="00DA4A2F">
            <w:pPr>
              <w:rPr>
                <w:rFonts w:ascii="Calibri" w:hAnsi="Calibri"/>
                <w:bCs/>
              </w:rPr>
            </w:pPr>
            <w:r>
              <w:rPr>
                <w:rFonts w:ascii="Calibri" w:hAnsi="Calibri"/>
                <w:bCs/>
              </w:rPr>
              <w:t>Our School’s vision and values underpin and link to all areas of development throughout the plan.</w:t>
            </w:r>
          </w:p>
          <w:p w:rsidR="009473C2" w:rsidRDefault="009473C2" w:rsidP="00DA4A2F">
            <w:pPr>
              <w:rPr>
                <w:rFonts w:ascii="Calibri" w:hAnsi="Calibri"/>
                <w:bCs/>
              </w:rPr>
            </w:pPr>
            <w:r>
              <w:rPr>
                <w:rFonts w:ascii="Calibri" w:hAnsi="Calibri"/>
                <w:bCs/>
              </w:rPr>
              <w:t>These are:</w:t>
            </w:r>
          </w:p>
          <w:p w:rsidR="009473C2" w:rsidRDefault="009473C2" w:rsidP="00DA4A2F">
            <w:pPr>
              <w:rPr>
                <w:rFonts w:ascii="Calibri" w:hAnsi="Calibri"/>
                <w:bCs/>
              </w:rPr>
            </w:pPr>
            <w:r>
              <w:rPr>
                <w:rFonts w:ascii="Calibri" w:hAnsi="Calibri"/>
                <w:bCs/>
              </w:rPr>
              <w:t>Perseverance</w:t>
            </w:r>
          </w:p>
          <w:p w:rsidR="009473C2" w:rsidRDefault="009473C2" w:rsidP="00DA4A2F">
            <w:pPr>
              <w:rPr>
                <w:rFonts w:ascii="Calibri" w:hAnsi="Calibri"/>
                <w:bCs/>
              </w:rPr>
            </w:pPr>
            <w:r>
              <w:rPr>
                <w:rFonts w:ascii="Calibri" w:hAnsi="Calibri"/>
                <w:bCs/>
              </w:rPr>
              <w:t>Humility</w:t>
            </w:r>
          </w:p>
          <w:p w:rsidR="009473C2" w:rsidRDefault="009473C2" w:rsidP="00DA4A2F">
            <w:pPr>
              <w:rPr>
                <w:rFonts w:ascii="Calibri" w:hAnsi="Calibri"/>
                <w:bCs/>
              </w:rPr>
            </w:pPr>
            <w:r>
              <w:rPr>
                <w:rFonts w:ascii="Calibri" w:hAnsi="Calibri"/>
                <w:bCs/>
              </w:rPr>
              <w:t>Trust</w:t>
            </w:r>
          </w:p>
          <w:p w:rsidR="009473C2" w:rsidRDefault="009473C2" w:rsidP="00DA4A2F">
            <w:pPr>
              <w:rPr>
                <w:rFonts w:ascii="Calibri" w:hAnsi="Calibri"/>
                <w:bCs/>
              </w:rPr>
            </w:pPr>
            <w:r>
              <w:rPr>
                <w:rFonts w:ascii="Calibri" w:hAnsi="Calibri"/>
                <w:bCs/>
              </w:rPr>
              <w:t>Inspiration</w:t>
            </w:r>
          </w:p>
          <w:p w:rsidR="009473C2" w:rsidRDefault="009473C2" w:rsidP="00DA4A2F">
            <w:pPr>
              <w:rPr>
                <w:rFonts w:ascii="Calibri" w:hAnsi="Calibri"/>
                <w:bCs/>
              </w:rPr>
            </w:pPr>
            <w:r>
              <w:rPr>
                <w:rFonts w:ascii="Calibri" w:hAnsi="Calibri"/>
                <w:bCs/>
              </w:rPr>
              <w:t>Care and Community</w:t>
            </w:r>
          </w:p>
          <w:p w:rsidR="009473C2" w:rsidRDefault="009473C2" w:rsidP="00DA4A2F">
            <w:pPr>
              <w:rPr>
                <w:rFonts w:ascii="Calibri" w:hAnsi="Calibri"/>
                <w:bCs/>
              </w:rPr>
            </w:pPr>
            <w:r>
              <w:rPr>
                <w:rFonts w:ascii="Calibri" w:hAnsi="Calibri"/>
                <w:bCs/>
              </w:rPr>
              <w:t xml:space="preserve">Vision – Embracing a culture where no child is left behind, we value and respect all the children that God has put in our care. We enrich the lives of our children and ensure that </w:t>
            </w:r>
            <w:proofErr w:type="spellStart"/>
            <w:r>
              <w:rPr>
                <w:rFonts w:ascii="Calibri" w:hAnsi="Calibri"/>
                <w:bCs/>
              </w:rPr>
              <w:t>Ryecroft</w:t>
            </w:r>
            <w:proofErr w:type="spellEnd"/>
            <w:r>
              <w:rPr>
                <w:rFonts w:ascii="Calibri" w:hAnsi="Calibri"/>
                <w:bCs/>
              </w:rPr>
              <w:t xml:space="preserve"> is a safe, happy and inspiring place, embodying the Christian values of trust, humility and perseverance.</w:t>
            </w:r>
          </w:p>
          <w:p w:rsidR="009473C2" w:rsidRDefault="009473C2" w:rsidP="00DA4A2F">
            <w:pPr>
              <w:rPr>
                <w:rFonts w:ascii="Calibri" w:hAnsi="Calibri"/>
                <w:bCs/>
              </w:rPr>
            </w:pPr>
          </w:p>
          <w:p w:rsidR="00DA4A2F" w:rsidRPr="001876F3" w:rsidRDefault="00DA4A2F" w:rsidP="001363FC"/>
        </w:tc>
        <w:tc>
          <w:tcPr>
            <w:tcW w:w="3149" w:type="dxa"/>
            <w:shd w:val="clear" w:color="auto" w:fill="FFFFFF" w:themeFill="background1"/>
          </w:tcPr>
          <w:p w:rsidR="00DA4A2F" w:rsidRPr="00200522" w:rsidRDefault="00DA4A2F" w:rsidP="00DA4A2F">
            <w:pPr>
              <w:pStyle w:val="Default"/>
              <w:rPr>
                <w:rFonts w:asciiTheme="minorHAnsi" w:hAnsiTheme="minorHAnsi"/>
                <w:bCs/>
                <w:sz w:val="22"/>
                <w:szCs w:val="22"/>
              </w:rPr>
            </w:pPr>
            <w:r w:rsidRPr="00200522">
              <w:rPr>
                <w:rFonts w:asciiTheme="minorHAnsi" w:hAnsiTheme="minorHAnsi"/>
                <w:sz w:val="22"/>
                <w:szCs w:val="22"/>
              </w:rPr>
              <w:t>1</w:t>
            </w:r>
            <w:r w:rsidRPr="00200522">
              <w:rPr>
                <w:rFonts w:asciiTheme="minorHAnsi" w:hAnsiTheme="minorHAnsi"/>
                <w:bCs/>
                <w:sz w:val="22"/>
                <w:szCs w:val="22"/>
              </w:rPr>
              <w:t xml:space="preserve"> Set high expectations which inspire, motivate and challenge pupils </w:t>
            </w:r>
          </w:p>
          <w:p w:rsidR="00DA4A2F" w:rsidRPr="00200522" w:rsidRDefault="00DA4A2F" w:rsidP="00DA4A2F"/>
          <w:p w:rsidR="00DA4A2F" w:rsidRPr="00200522" w:rsidRDefault="00DA4A2F" w:rsidP="00DA4A2F">
            <w:pPr>
              <w:pStyle w:val="Default"/>
              <w:rPr>
                <w:rFonts w:asciiTheme="minorHAnsi" w:hAnsiTheme="minorHAnsi"/>
                <w:bCs/>
                <w:sz w:val="22"/>
                <w:szCs w:val="22"/>
              </w:rPr>
            </w:pPr>
            <w:r w:rsidRPr="00200522">
              <w:rPr>
                <w:rFonts w:asciiTheme="minorHAnsi" w:hAnsiTheme="minorHAnsi"/>
                <w:bCs/>
                <w:sz w:val="22"/>
                <w:szCs w:val="22"/>
              </w:rPr>
              <w:t xml:space="preserve">2. Promote good progress and outcomes by pupils </w:t>
            </w:r>
          </w:p>
          <w:p w:rsidR="00DA4A2F" w:rsidRPr="00200522" w:rsidRDefault="00DA4A2F" w:rsidP="00DA4A2F">
            <w:pPr>
              <w:pStyle w:val="Default"/>
              <w:rPr>
                <w:rFonts w:asciiTheme="minorHAnsi" w:hAnsiTheme="minorHAnsi"/>
                <w:bCs/>
                <w:color w:val="auto"/>
                <w:sz w:val="22"/>
                <w:szCs w:val="22"/>
              </w:rPr>
            </w:pPr>
            <w:r w:rsidRPr="00200522">
              <w:rPr>
                <w:rFonts w:asciiTheme="minorHAnsi" w:hAnsiTheme="minorHAnsi"/>
                <w:bCs/>
                <w:color w:val="auto"/>
                <w:sz w:val="22"/>
                <w:szCs w:val="22"/>
              </w:rPr>
              <w:t xml:space="preserve">4. Plan and teach well-structured lessons </w:t>
            </w:r>
          </w:p>
          <w:p w:rsidR="00DA4A2F" w:rsidRPr="00200522" w:rsidRDefault="00DA4A2F" w:rsidP="00DA4A2F">
            <w:pPr>
              <w:pStyle w:val="Default"/>
              <w:rPr>
                <w:rFonts w:asciiTheme="minorHAnsi" w:hAnsiTheme="minorHAnsi"/>
                <w:sz w:val="22"/>
                <w:szCs w:val="22"/>
              </w:rPr>
            </w:pPr>
          </w:p>
          <w:p w:rsidR="00DA4A2F" w:rsidRPr="00200522" w:rsidRDefault="00DA4A2F" w:rsidP="00DA4A2F">
            <w:pPr>
              <w:pStyle w:val="Default"/>
              <w:rPr>
                <w:rFonts w:asciiTheme="minorHAnsi" w:hAnsiTheme="minorHAnsi"/>
                <w:bCs/>
                <w:color w:val="auto"/>
                <w:sz w:val="22"/>
                <w:szCs w:val="22"/>
              </w:rPr>
            </w:pPr>
            <w:r w:rsidRPr="00200522">
              <w:rPr>
                <w:rFonts w:asciiTheme="minorHAnsi" w:hAnsiTheme="minorHAnsi"/>
                <w:bCs/>
                <w:color w:val="auto"/>
                <w:sz w:val="22"/>
                <w:szCs w:val="22"/>
              </w:rPr>
              <w:t xml:space="preserve">5. Adapt teaching to respond to the strengths and needs of all pupils </w:t>
            </w:r>
          </w:p>
          <w:p w:rsidR="00DA4A2F" w:rsidRPr="00200522" w:rsidRDefault="00DA4A2F" w:rsidP="00DA4A2F">
            <w:pPr>
              <w:pStyle w:val="Default"/>
              <w:rPr>
                <w:rFonts w:asciiTheme="minorHAnsi" w:hAnsiTheme="minorHAnsi"/>
                <w:color w:val="auto"/>
                <w:sz w:val="22"/>
                <w:szCs w:val="22"/>
              </w:rPr>
            </w:pPr>
          </w:p>
          <w:p w:rsidR="00DA4A2F" w:rsidRPr="00200522" w:rsidRDefault="00DA4A2F" w:rsidP="00DA4A2F">
            <w:pPr>
              <w:pStyle w:val="Default"/>
              <w:rPr>
                <w:rFonts w:asciiTheme="minorHAnsi" w:hAnsiTheme="minorHAnsi"/>
                <w:sz w:val="22"/>
                <w:szCs w:val="22"/>
              </w:rPr>
            </w:pPr>
            <w:r>
              <w:rPr>
                <w:rFonts w:asciiTheme="minorHAnsi" w:hAnsiTheme="minorHAnsi"/>
                <w:bCs/>
                <w:color w:val="auto"/>
                <w:sz w:val="22"/>
                <w:szCs w:val="22"/>
              </w:rPr>
              <w:t xml:space="preserve">7. Manage behaviour effectively to ensure a good and safe learning environment </w:t>
            </w:r>
          </w:p>
          <w:p w:rsidR="00DA4A2F" w:rsidRPr="00200522" w:rsidRDefault="00DA4A2F" w:rsidP="00DA4A2F">
            <w:pPr>
              <w:pStyle w:val="Default"/>
              <w:rPr>
                <w:rFonts w:asciiTheme="minorHAnsi" w:hAnsiTheme="minorHAnsi"/>
                <w:sz w:val="22"/>
                <w:szCs w:val="22"/>
              </w:rPr>
            </w:pPr>
            <w:r w:rsidRPr="00200522">
              <w:rPr>
                <w:rFonts w:asciiTheme="minorHAnsi" w:hAnsiTheme="minorHAnsi"/>
                <w:bCs/>
                <w:color w:val="auto"/>
                <w:sz w:val="22"/>
                <w:szCs w:val="22"/>
              </w:rPr>
              <w:t xml:space="preserve"> </w:t>
            </w:r>
          </w:p>
          <w:p w:rsidR="00DA4A2F" w:rsidRPr="001876F3" w:rsidRDefault="00DA4A2F" w:rsidP="00DA4A2F">
            <w:r w:rsidRPr="00200522">
              <w:rPr>
                <w:bCs/>
              </w:rPr>
              <w:t>8. Fulfil wider professional responsibilities</w:t>
            </w:r>
          </w:p>
        </w:tc>
      </w:tr>
    </w:tbl>
    <w:p w:rsidR="00200522" w:rsidRPr="006C5CA8" w:rsidRDefault="00200522" w:rsidP="006C5CA8">
      <w:pPr>
        <w:rPr>
          <w:sz w:val="28"/>
          <w:szCs w:val="28"/>
        </w:rPr>
      </w:pPr>
    </w:p>
    <w:sectPr w:rsidR="00200522" w:rsidRPr="006C5CA8">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522" w:rsidRDefault="00200522" w:rsidP="00200522">
      <w:pPr>
        <w:spacing w:after="0" w:line="240" w:lineRule="auto"/>
      </w:pPr>
      <w:r>
        <w:separator/>
      </w:r>
    </w:p>
  </w:endnote>
  <w:endnote w:type="continuationSeparator" w:id="0">
    <w:p w:rsidR="00200522" w:rsidRDefault="00200522" w:rsidP="00200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522" w:rsidRDefault="00200522" w:rsidP="00200522">
      <w:pPr>
        <w:spacing w:after="0" w:line="240" w:lineRule="auto"/>
      </w:pPr>
      <w:r>
        <w:separator/>
      </w:r>
    </w:p>
  </w:footnote>
  <w:footnote w:type="continuationSeparator" w:id="0">
    <w:p w:rsidR="00200522" w:rsidRDefault="00200522" w:rsidP="002005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522" w:rsidRDefault="00200522" w:rsidP="00200522">
    <w:pPr>
      <w:pStyle w:val="Header"/>
      <w:jc w:val="center"/>
    </w:pPr>
    <w:r w:rsidRPr="001876F3">
      <w:rPr>
        <w:noProof/>
        <w:sz w:val="28"/>
        <w:szCs w:val="28"/>
        <w:lang w:eastAsia="en-GB"/>
      </w:rPr>
      <w:drawing>
        <wp:inline distT="0" distB="0" distL="0" distR="0" wp14:anchorId="46F4221D" wp14:editId="1ECD94EB">
          <wp:extent cx="981075" cy="923925"/>
          <wp:effectExtent l="0" t="0" r="9525" b="9525"/>
          <wp:docPr id="2" name="Picture 2" descr="E:\2020-21\Ryecroft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2020-21\Ryecroft JPEG.jpg"/>
                  <pic:cNvPicPr>
                    <a:picLocks noChangeAspect="1" noChangeArrowheads="1"/>
                  </pic:cNvPicPr>
                </pic:nvPicPr>
                <pic:blipFill rotWithShape="1">
                  <a:blip r:embed="rId1">
                    <a:extLst>
                      <a:ext uri="{28A0092B-C50C-407E-A947-70E740481C1C}">
                        <a14:useLocalDpi xmlns:a14="http://schemas.microsoft.com/office/drawing/2010/main" val="0"/>
                      </a:ext>
                    </a:extLst>
                  </a:blip>
                  <a:srcRect r="5505" b="3961"/>
                  <a:stretch/>
                </pic:blipFill>
                <pic:spPr bwMode="auto">
                  <a:xfrm>
                    <a:off x="0" y="0"/>
                    <a:ext cx="981075" cy="9239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CA8"/>
    <w:rsid w:val="000A22DA"/>
    <w:rsid w:val="000B23E5"/>
    <w:rsid w:val="00145C86"/>
    <w:rsid w:val="001876F3"/>
    <w:rsid w:val="001D603F"/>
    <w:rsid w:val="00200522"/>
    <w:rsid w:val="00231121"/>
    <w:rsid w:val="002846D1"/>
    <w:rsid w:val="00433018"/>
    <w:rsid w:val="0044426F"/>
    <w:rsid w:val="0046597A"/>
    <w:rsid w:val="00677FB5"/>
    <w:rsid w:val="006C5CA8"/>
    <w:rsid w:val="0070685C"/>
    <w:rsid w:val="00820CAB"/>
    <w:rsid w:val="008A3AD0"/>
    <w:rsid w:val="009473C2"/>
    <w:rsid w:val="00956DD4"/>
    <w:rsid w:val="009D6406"/>
    <w:rsid w:val="00A17F37"/>
    <w:rsid w:val="00B71241"/>
    <w:rsid w:val="00C501CF"/>
    <w:rsid w:val="00DA4A2F"/>
    <w:rsid w:val="00F164D1"/>
    <w:rsid w:val="00F205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8F5B3C-B897-4827-836C-24EF263F8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5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76F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005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522"/>
  </w:style>
  <w:style w:type="paragraph" w:styleId="Footer">
    <w:name w:val="footer"/>
    <w:basedOn w:val="Normal"/>
    <w:link w:val="FooterChar"/>
    <w:uiPriority w:val="99"/>
    <w:unhideWhenUsed/>
    <w:rsid w:val="002005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522"/>
  </w:style>
  <w:style w:type="paragraph" w:styleId="BalloonText">
    <w:name w:val="Balloon Text"/>
    <w:basedOn w:val="Normal"/>
    <w:link w:val="BalloonTextChar"/>
    <w:uiPriority w:val="99"/>
    <w:semiHidden/>
    <w:unhideWhenUsed/>
    <w:rsid w:val="000A2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2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810">
      <w:bodyDiv w:val="1"/>
      <w:marLeft w:val="0"/>
      <w:marRight w:val="0"/>
      <w:marTop w:val="0"/>
      <w:marBottom w:val="0"/>
      <w:divBdr>
        <w:top w:val="none" w:sz="0" w:space="0" w:color="auto"/>
        <w:left w:val="none" w:sz="0" w:space="0" w:color="auto"/>
        <w:bottom w:val="none" w:sz="0" w:space="0" w:color="auto"/>
        <w:right w:val="none" w:sz="0" w:space="0" w:color="auto"/>
      </w:divBdr>
    </w:div>
    <w:div w:id="42946553">
      <w:bodyDiv w:val="1"/>
      <w:marLeft w:val="0"/>
      <w:marRight w:val="0"/>
      <w:marTop w:val="0"/>
      <w:marBottom w:val="0"/>
      <w:divBdr>
        <w:top w:val="none" w:sz="0" w:space="0" w:color="auto"/>
        <w:left w:val="none" w:sz="0" w:space="0" w:color="auto"/>
        <w:bottom w:val="none" w:sz="0" w:space="0" w:color="auto"/>
        <w:right w:val="none" w:sz="0" w:space="0" w:color="auto"/>
      </w:divBdr>
    </w:div>
    <w:div w:id="392969052">
      <w:bodyDiv w:val="1"/>
      <w:marLeft w:val="0"/>
      <w:marRight w:val="0"/>
      <w:marTop w:val="0"/>
      <w:marBottom w:val="0"/>
      <w:divBdr>
        <w:top w:val="none" w:sz="0" w:space="0" w:color="auto"/>
        <w:left w:val="none" w:sz="0" w:space="0" w:color="auto"/>
        <w:bottom w:val="none" w:sz="0" w:space="0" w:color="auto"/>
        <w:right w:val="none" w:sz="0" w:space="0" w:color="auto"/>
      </w:divBdr>
    </w:div>
    <w:div w:id="414673815">
      <w:bodyDiv w:val="1"/>
      <w:marLeft w:val="0"/>
      <w:marRight w:val="0"/>
      <w:marTop w:val="0"/>
      <w:marBottom w:val="0"/>
      <w:divBdr>
        <w:top w:val="none" w:sz="0" w:space="0" w:color="auto"/>
        <w:left w:val="none" w:sz="0" w:space="0" w:color="auto"/>
        <w:bottom w:val="none" w:sz="0" w:space="0" w:color="auto"/>
        <w:right w:val="none" w:sz="0" w:space="0" w:color="auto"/>
      </w:divBdr>
    </w:div>
    <w:div w:id="437606693">
      <w:bodyDiv w:val="1"/>
      <w:marLeft w:val="0"/>
      <w:marRight w:val="0"/>
      <w:marTop w:val="0"/>
      <w:marBottom w:val="0"/>
      <w:divBdr>
        <w:top w:val="none" w:sz="0" w:space="0" w:color="auto"/>
        <w:left w:val="none" w:sz="0" w:space="0" w:color="auto"/>
        <w:bottom w:val="none" w:sz="0" w:space="0" w:color="auto"/>
        <w:right w:val="none" w:sz="0" w:space="0" w:color="auto"/>
      </w:divBdr>
    </w:div>
    <w:div w:id="456412999">
      <w:bodyDiv w:val="1"/>
      <w:marLeft w:val="0"/>
      <w:marRight w:val="0"/>
      <w:marTop w:val="0"/>
      <w:marBottom w:val="0"/>
      <w:divBdr>
        <w:top w:val="none" w:sz="0" w:space="0" w:color="auto"/>
        <w:left w:val="none" w:sz="0" w:space="0" w:color="auto"/>
        <w:bottom w:val="none" w:sz="0" w:space="0" w:color="auto"/>
        <w:right w:val="none" w:sz="0" w:space="0" w:color="auto"/>
      </w:divBdr>
    </w:div>
    <w:div w:id="479003005">
      <w:bodyDiv w:val="1"/>
      <w:marLeft w:val="0"/>
      <w:marRight w:val="0"/>
      <w:marTop w:val="0"/>
      <w:marBottom w:val="0"/>
      <w:divBdr>
        <w:top w:val="none" w:sz="0" w:space="0" w:color="auto"/>
        <w:left w:val="none" w:sz="0" w:space="0" w:color="auto"/>
        <w:bottom w:val="none" w:sz="0" w:space="0" w:color="auto"/>
        <w:right w:val="none" w:sz="0" w:space="0" w:color="auto"/>
      </w:divBdr>
    </w:div>
    <w:div w:id="510220655">
      <w:bodyDiv w:val="1"/>
      <w:marLeft w:val="0"/>
      <w:marRight w:val="0"/>
      <w:marTop w:val="0"/>
      <w:marBottom w:val="0"/>
      <w:divBdr>
        <w:top w:val="none" w:sz="0" w:space="0" w:color="auto"/>
        <w:left w:val="none" w:sz="0" w:space="0" w:color="auto"/>
        <w:bottom w:val="none" w:sz="0" w:space="0" w:color="auto"/>
        <w:right w:val="none" w:sz="0" w:space="0" w:color="auto"/>
      </w:divBdr>
    </w:div>
    <w:div w:id="515464348">
      <w:bodyDiv w:val="1"/>
      <w:marLeft w:val="0"/>
      <w:marRight w:val="0"/>
      <w:marTop w:val="0"/>
      <w:marBottom w:val="0"/>
      <w:divBdr>
        <w:top w:val="none" w:sz="0" w:space="0" w:color="auto"/>
        <w:left w:val="none" w:sz="0" w:space="0" w:color="auto"/>
        <w:bottom w:val="none" w:sz="0" w:space="0" w:color="auto"/>
        <w:right w:val="none" w:sz="0" w:space="0" w:color="auto"/>
      </w:divBdr>
    </w:div>
    <w:div w:id="664826275">
      <w:bodyDiv w:val="1"/>
      <w:marLeft w:val="0"/>
      <w:marRight w:val="0"/>
      <w:marTop w:val="0"/>
      <w:marBottom w:val="0"/>
      <w:divBdr>
        <w:top w:val="none" w:sz="0" w:space="0" w:color="auto"/>
        <w:left w:val="none" w:sz="0" w:space="0" w:color="auto"/>
        <w:bottom w:val="none" w:sz="0" w:space="0" w:color="auto"/>
        <w:right w:val="none" w:sz="0" w:space="0" w:color="auto"/>
      </w:divBdr>
    </w:div>
    <w:div w:id="716316432">
      <w:bodyDiv w:val="1"/>
      <w:marLeft w:val="0"/>
      <w:marRight w:val="0"/>
      <w:marTop w:val="0"/>
      <w:marBottom w:val="0"/>
      <w:divBdr>
        <w:top w:val="none" w:sz="0" w:space="0" w:color="auto"/>
        <w:left w:val="none" w:sz="0" w:space="0" w:color="auto"/>
        <w:bottom w:val="none" w:sz="0" w:space="0" w:color="auto"/>
        <w:right w:val="none" w:sz="0" w:space="0" w:color="auto"/>
      </w:divBdr>
    </w:div>
    <w:div w:id="849224280">
      <w:bodyDiv w:val="1"/>
      <w:marLeft w:val="0"/>
      <w:marRight w:val="0"/>
      <w:marTop w:val="0"/>
      <w:marBottom w:val="0"/>
      <w:divBdr>
        <w:top w:val="none" w:sz="0" w:space="0" w:color="auto"/>
        <w:left w:val="none" w:sz="0" w:space="0" w:color="auto"/>
        <w:bottom w:val="none" w:sz="0" w:space="0" w:color="auto"/>
        <w:right w:val="none" w:sz="0" w:space="0" w:color="auto"/>
      </w:divBdr>
    </w:div>
    <w:div w:id="885026610">
      <w:bodyDiv w:val="1"/>
      <w:marLeft w:val="0"/>
      <w:marRight w:val="0"/>
      <w:marTop w:val="0"/>
      <w:marBottom w:val="0"/>
      <w:divBdr>
        <w:top w:val="none" w:sz="0" w:space="0" w:color="auto"/>
        <w:left w:val="none" w:sz="0" w:space="0" w:color="auto"/>
        <w:bottom w:val="none" w:sz="0" w:space="0" w:color="auto"/>
        <w:right w:val="none" w:sz="0" w:space="0" w:color="auto"/>
      </w:divBdr>
    </w:div>
    <w:div w:id="890267844">
      <w:bodyDiv w:val="1"/>
      <w:marLeft w:val="0"/>
      <w:marRight w:val="0"/>
      <w:marTop w:val="0"/>
      <w:marBottom w:val="0"/>
      <w:divBdr>
        <w:top w:val="none" w:sz="0" w:space="0" w:color="auto"/>
        <w:left w:val="none" w:sz="0" w:space="0" w:color="auto"/>
        <w:bottom w:val="none" w:sz="0" w:space="0" w:color="auto"/>
        <w:right w:val="none" w:sz="0" w:space="0" w:color="auto"/>
      </w:divBdr>
    </w:div>
    <w:div w:id="1071655891">
      <w:bodyDiv w:val="1"/>
      <w:marLeft w:val="0"/>
      <w:marRight w:val="0"/>
      <w:marTop w:val="0"/>
      <w:marBottom w:val="0"/>
      <w:divBdr>
        <w:top w:val="none" w:sz="0" w:space="0" w:color="auto"/>
        <w:left w:val="none" w:sz="0" w:space="0" w:color="auto"/>
        <w:bottom w:val="none" w:sz="0" w:space="0" w:color="auto"/>
        <w:right w:val="none" w:sz="0" w:space="0" w:color="auto"/>
      </w:divBdr>
    </w:div>
    <w:div w:id="1323388107">
      <w:bodyDiv w:val="1"/>
      <w:marLeft w:val="0"/>
      <w:marRight w:val="0"/>
      <w:marTop w:val="0"/>
      <w:marBottom w:val="0"/>
      <w:divBdr>
        <w:top w:val="none" w:sz="0" w:space="0" w:color="auto"/>
        <w:left w:val="none" w:sz="0" w:space="0" w:color="auto"/>
        <w:bottom w:val="none" w:sz="0" w:space="0" w:color="auto"/>
        <w:right w:val="none" w:sz="0" w:space="0" w:color="auto"/>
      </w:divBdr>
    </w:div>
    <w:div w:id="1327856285">
      <w:bodyDiv w:val="1"/>
      <w:marLeft w:val="0"/>
      <w:marRight w:val="0"/>
      <w:marTop w:val="0"/>
      <w:marBottom w:val="0"/>
      <w:divBdr>
        <w:top w:val="none" w:sz="0" w:space="0" w:color="auto"/>
        <w:left w:val="none" w:sz="0" w:space="0" w:color="auto"/>
        <w:bottom w:val="none" w:sz="0" w:space="0" w:color="auto"/>
        <w:right w:val="none" w:sz="0" w:space="0" w:color="auto"/>
      </w:divBdr>
    </w:div>
    <w:div w:id="1389642589">
      <w:bodyDiv w:val="1"/>
      <w:marLeft w:val="0"/>
      <w:marRight w:val="0"/>
      <w:marTop w:val="0"/>
      <w:marBottom w:val="0"/>
      <w:divBdr>
        <w:top w:val="none" w:sz="0" w:space="0" w:color="auto"/>
        <w:left w:val="none" w:sz="0" w:space="0" w:color="auto"/>
        <w:bottom w:val="none" w:sz="0" w:space="0" w:color="auto"/>
        <w:right w:val="none" w:sz="0" w:space="0" w:color="auto"/>
      </w:divBdr>
    </w:div>
    <w:div w:id="1425766230">
      <w:bodyDiv w:val="1"/>
      <w:marLeft w:val="0"/>
      <w:marRight w:val="0"/>
      <w:marTop w:val="0"/>
      <w:marBottom w:val="0"/>
      <w:divBdr>
        <w:top w:val="none" w:sz="0" w:space="0" w:color="auto"/>
        <w:left w:val="none" w:sz="0" w:space="0" w:color="auto"/>
        <w:bottom w:val="none" w:sz="0" w:space="0" w:color="auto"/>
        <w:right w:val="none" w:sz="0" w:space="0" w:color="auto"/>
      </w:divBdr>
    </w:div>
    <w:div w:id="1494027013">
      <w:bodyDiv w:val="1"/>
      <w:marLeft w:val="0"/>
      <w:marRight w:val="0"/>
      <w:marTop w:val="0"/>
      <w:marBottom w:val="0"/>
      <w:divBdr>
        <w:top w:val="none" w:sz="0" w:space="0" w:color="auto"/>
        <w:left w:val="none" w:sz="0" w:space="0" w:color="auto"/>
        <w:bottom w:val="none" w:sz="0" w:space="0" w:color="auto"/>
        <w:right w:val="none" w:sz="0" w:space="0" w:color="auto"/>
      </w:divBdr>
    </w:div>
    <w:div w:id="1520006603">
      <w:bodyDiv w:val="1"/>
      <w:marLeft w:val="0"/>
      <w:marRight w:val="0"/>
      <w:marTop w:val="0"/>
      <w:marBottom w:val="0"/>
      <w:divBdr>
        <w:top w:val="none" w:sz="0" w:space="0" w:color="auto"/>
        <w:left w:val="none" w:sz="0" w:space="0" w:color="auto"/>
        <w:bottom w:val="none" w:sz="0" w:space="0" w:color="auto"/>
        <w:right w:val="none" w:sz="0" w:space="0" w:color="auto"/>
      </w:divBdr>
    </w:div>
    <w:div w:id="1547641832">
      <w:bodyDiv w:val="1"/>
      <w:marLeft w:val="0"/>
      <w:marRight w:val="0"/>
      <w:marTop w:val="0"/>
      <w:marBottom w:val="0"/>
      <w:divBdr>
        <w:top w:val="none" w:sz="0" w:space="0" w:color="auto"/>
        <w:left w:val="none" w:sz="0" w:space="0" w:color="auto"/>
        <w:bottom w:val="none" w:sz="0" w:space="0" w:color="auto"/>
        <w:right w:val="none" w:sz="0" w:space="0" w:color="auto"/>
      </w:divBdr>
    </w:div>
    <w:div w:id="1731420046">
      <w:bodyDiv w:val="1"/>
      <w:marLeft w:val="0"/>
      <w:marRight w:val="0"/>
      <w:marTop w:val="0"/>
      <w:marBottom w:val="0"/>
      <w:divBdr>
        <w:top w:val="none" w:sz="0" w:space="0" w:color="auto"/>
        <w:left w:val="none" w:sz="0" w:space="0" w:color="auto"/>
        <w:bottom w:val="none" w:sz="0" w:space="0" w:color="auto"/>
        <w:right w:val="none" w:sz="0" w:space="0" w:color="auto"/>
      </w:divBdr>
    </w:div>
    <w:div w:id="1783961389">
      <w:bodyDiv w:val="1"/>
      <w:marLeft w:val="0"/>
      <w:marRight w:val="0"/>
      <w:marTop w:val="0"/>
      <w:marBottom w:val="0"/>
      <w:divBdr>
        <w:top w:val="none" w:sz="0" w:space="0" w:color="auto"/>
        <w:left w:val="none" w:sz="0" w:space="0" w:color="auto"/>
        <w:bottom w:val="none" w:sz="0" w:space="0" w:color="auto"/>
        <w:right w:val="none" w:sz="0" w:space="0" w:color="auto"/>
      </w:divBdr>
    </w:div>
    <w:div w:id="1883251883">
      <w:bodyDiv w:val="1"/>
      <w:marLeft w:val="0"/>
      <w:marRight w:val="0"/>
      <w:marTop w:val="0"/>
      <w:marBottom w:val="0"/>
      <w:divBdr>
        <w:top w:val="none" w:sz="0" w:space="0" w:color="auto"/>
        <w:left w:val="none" w:sz="0" w:space="0" w:color="auto"/>
        <w:bottom w:val="none" w:sz="0" w:space="0" w:color="auto"/>
        <w:right w:val="none" w:sz="0" w:space="0" w:color="auto"/>
      </w:divBdr>
    </w:div>
    <w:div w:id="2029522208">
      <w:bodyDiv w:val="1"/>
      <w:marLeft w:val="0"/>
      <w:marRight w:val="0"/>
      <w:marTop w:val="0"/>
      <w:marBottom w:val="0"/>
      <w:divBdr>
        <w:top w:val="none" w:sz="0" w:space="0" w:color="auto"/>
        <w:left w:val="none" w:sz="0" w:space="0" w:color="auto"/>
        <w:bottom w:val="none" w:sz="0" w:space="0" w:color="auto"/>
        <w:right w:val="none" w:sz="0" w:space="0" w:color="auto"/>
      </w:divBdr>
    </w:div>
    <w:div w:id="211100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FF1A2244</Template>
  <TotalTime>1</TotalTime>
  <Pages>4</Pages>
  <Words>881</Words>
  <Characters>5024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Ryecroft Middle</Company>
  <LinksUpToDate>false</LinksUpToDate>
  <CharactersWithSpaces>5894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HEADTEACHER</dc:creator>
  <cp:lastModifiedBy>R WHITEHALL</cp:lastModifiedBy>
  <cp:revision>2</cp:revision>
  <dcterms:created xsi:type="dcterms:W3CDTF">2021-05-13T12:38:00Z</dcterms:created>
  <dcterms:modified xsi:type="dcterms:W3CDTF">2021-05-13T12:38:00Z</dcterms:modified>
</cp:coreProperties>
</file>